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8212" w14:textId="77777777" w:rsidR="002E6374" w:rsidRPr="002E6374" w:rsidRDefault="002E6374" w:rsidP="002E6374">
      <w:pPr>
        <w:autoSpaceDE w:val="0"/>
        <w:autoSpaceDN w:val="0"/>
        <w:adjustRightInd w:val="0"/>
        <w:spacing w:after="0" w:line="360" w:lineRule="auto"/>
        <w:jc w:val="both"/>
        <w:rPr>
          <w:rFonts w:ascii="Arial" w:hAnsi="Arial" w:cs="Arial"/>
          <w:b/>
          <w:sz w:val="20"/>
          <w:szCs w:val="20"/>
          <w:shd w:val="clear" w:color="auto" w:fill="FFFFFF"/>
          <w:lang w:val="en-US"/>
        </w:rPr>
      </w:pPr>
      <w:bookmarkStart w:id="0" w:name="_Hlk111645251"/>
      <w:bookmarkStart w:id="1" w:name="_Hlk118124077"/>
      <w:r w:rsidRPr="002E6374">
        <w:rPr>
          <w:rFonts w:ascii="Arial" w:hAnsi="Arial" w:cs="Arial"/>
          <w:b/>
          <w:sz w:val="20"/>
          <w:szCs w:val="20"/>
          <w:lang w:val="en-US"/>
        </w:rPr>
        <w:t xml:space="preserve">Understanding the implications of </w:t>
      </w:r>
      <w:r w:rsidRPr="002E6374">
        <w:rPr>
          <w:rFonts w:ascii="Arial" w:eastAsia="Calibri" w:hAnsi="Arial" w:cs="Arial"/>
          <w:b/>
          <w:sz w:val="20"/>
          <w:szCs w:val="20"/>
          <w:lang w:val="en-US"/>
        </w:rPr>
        <w:t>follicular output rate</w:t>
      </w:r>
      <w:r w:rsidRPr="002E6374">
        <w:rPr>
          <w:rFonts w:ascii="Arial" w:hAnsi="Arial" w:cs="Arial"/>
          <w:b/>
          <w:sz w:val="20"/>
          <w:szCs w:val="20"/>
          <w:lang w:val="en-US"/>
        </w:rPr>
        <w:t xml:space="preserve"> (FORT) and </w:t>
      </w:r>
      <w:r w:rsidRPr="002E6374">
        <w:rPr>
          <w:rFonts w:ascii="Arial" w:eastAsia="Calibri" w:hAnsi="Arial" w:cs="Arial"/>
          <w:b/>
          <w:sz w:val="20"/>
          <w:szCs w:val="20"/>
          <w:lang w:val="en-US"/>
        </w:rPr>
        <w:t>follicle</w:t>
      </w:r>
      <w:r w:rsidRPr="002E6374">
        <w:rPr>
          <w:rFonts w:ascii="Arial" w:hAnsi="Arial" w:cs="Arial"/>
          <w:b/>
          <w:sz w:val="20"/>
          <w:szCs w:val="20"/>
          <w:lang w:val="en-US"/>
        </w:rPr>
        <w:t xml:space="preserve"> to </w:t>
      </w:r>
      <w:r w:rsidRPr="002E6374">
        <w:rPr>
          <w:rFonts w:ascii="Arial" w:eastAsia="Calibri" w:hAnsi="Arial" w:cs="Arial"/>
          <w:b/>
          <w:sz w:val="20"/>
          <w:szCs w:val="20"/>
          <w:lang w:val="en-US"/>
        </w:rPr>
        <w:t>oocyte</w:t>
      </w:r>
      <w:r w:rsidRPr="002E6374">
        <w:rPr>
          <w:rFonts w:ascii="Arial" w:hAnsi="Arial" w:cs="Arial"/>
          <w:b/>
          <w:sz w:val="20"/>
          <w:szCs w:val="20"/>
          <w:lang w:val="en-US"/>
        </w:rPr>
        <w:t xml:space="preserve"> index (FOI) on human </w:t>
      </w:r>
      <w:r w:rsidRPr="002E6374">
        <w:rPr>
          <w:rFonts w:ascii="Arial" w:eastAsia="Calibri" w:hAnsi="Arial" w:cs="Arial"/>
          <w:b/>
          <w:sz w:val="20"/>
          <w:szCs w:val="20"/>
          <w:lang w:val="en-US"/>
        </w:rPr>
        <w:t>embryo</w:t>
      </w:r>
      <w:r w:rsidRPr="002E6374">
        <w:rPr>
          <w:rFonts w:ascii="Arial" w:hAnsi="Arial" w:cs="Arial"/>
          <w:b/>
          <w:sz w:val="20"/>
          <w:szCs w:val="20"/>
          <w:lang w:val="en-US"/>
        </w:rPr>
        <w:t xml:space="preserve"> morphokinetics</w:t>
      </w:r>
      <w:bookmarkEnd w:id="0"/>
    </w:p>
    <w:bookmarkEnd w:id="1"/>
    <w:p w14:paraId="451FC95A" w14:textId="77777777" w:rsidR="002E6374" w:rsidRPr="002E6374" w:rsidRDefault="002E6374" w:rsidP="002E6374">
      <w:pPr>
        <w:pStyle w:val="NormalWeb"/>
        <w:shd w:val="clear" w:color="auto" w:fill="FFFFFF"/>
        <w:spacing w:before="0" w:beforeAutospacing="0" w:after="0" w:afterAutospacing="0" w:line="360" w:lineRule="auto"/>
        <w:jc w:val="both"/>
        <w:rPr>
          <w:rFonts w:ascii="Arial" w:hAnsi="Arial" w:cs="Arial"/>
          <w:sz w:val="20"/>
          <w:szCs w:val="20"/>
          <w:lang w:val="en-US"/>
        </w:rPr>
      </w:pPr>
    </w:p>
    <w:p w14:paraId="18204618" w14:textId="5A78D86B" w:rsidR="002E6374" w:rsidRPr="002E6374" w:rsidRDefault="002E6374" w:rsidP="003D4A9A">
      <w:pPr>
        <w:pStyle w:val="NormalWeb"/>
        <w:spacing w:after="0" w:line="360" w:lineRule="auto"/>
        <w:jc w:val="both"/>
        <w:rPr>
          <w:rFonts w:ascii="Arial" w:hAnsi="Arial" w:cs="Arial"/>
          <w:sz w:val="20"/>
          <w:szCs w:val="20"/>
          <w:lang w:val="en-US"/>
        </w:rPr>
      </w:pPr>
      <w:r w:rsidRPr="003D4A9A">
        <w:rPr>
          <w:rFonts w:ascii="Arial" w:hAnsi="Arial" w:cs="Arial"/>
          <w:b/>
          <w:bCs/>
          <w:sz w:val="20"/>
          <w:szCs w:val="20"/>
          <w:lang w:val="en-US"/>
        </w:rPr>
        <w:t>Objective</w:t>
      </w:r>
      <w:r w:rsidRPr="003D4A9A">
        <w:rPr>
          <w:rFonts w:ascii="Arial" w:hAnsi="Arial" w:cs="Arial"/>
          <w:sz w:val="20"/>
          <w:szCs w:val="20"/>
          <w:lang w:val="en-US"/>
        </w:rPr>
        <w:t xml:space="preserve">: </w:t>
      </w:r>
      <w:r w:rsidR="00923A3D" w:rsidRPr="003D4A9A">
        <w:rPr>
          <w:rFonts w:ascii="Arial" w:hAnsi="Arial" w:cs="Arial"/>
          <w:sz w:val="20"/>
          <w:szCs w:val="20"/>
          <w:lang w:val="en-US"/>
        </w:rPr>
        <w:t>The follicular output rate (FORT, calculated as the number of preovulatory follicle measuring between 16 and 22 mm in diameter per antral follicle count [AFC] × 100) and follicle-to-oocyte index (FOI, calculated as the number of retrieved oocytes per AFC)</w:t>
      </w:r>
      <w:r w:rsidR="00F840D7" w:rsidRPr="003D4A9A">
        <w:rPr>
          <w:rFonts w:ascii="Arial" w:hAnsi="Arial" w:cs="Arial"/>
          <w:sz w:val="20"/>
          <w:szCs w:val="20"/>
          <w:lang w:val="en-US"/>
        </w:rPr>
        <w:t xml:space="preserve"> </w:t>
      </w:r>
      <w:r w:rsidR="00923A3D" w:rsidRPr="003D4A9A">
        <w:rPr>
          <w:rFonts w:ascii="Arial" w:hAnsi="Arial" w:cs="Arial"/>
          <w:sz w:val="20"/>
          <w:szCs w:val="20"/>
          <w:lang w:val="en-US"/>
        </w:rPr>
        <w:t xml:space="preserve">are </w:t>
      </w:r>
      <w:r w:rsidR="003D4A9A" w:rsidRPr="003D4A9A">
        <w:rPr>
          <w:rFonts w:ascii="Arial" w:hAnsi="Arial" w:cs="Arial"/>
          <w:sz w:val="20"/>
          <w:szCs w:val="20"/>
          <w:lang w:val="en-US"/>
        </w:rPr>
        <w:t xml:space="preserve">quantitative </w:t>
      </w:r>
      <w:r w:rsidR="00923A3D" w:rsidRPr="003D4A9A">
        <w:rPr>
          <w:rFonts w:ascii="Arial" w:hAnsi="Arial" w:cs="Arial"/>
          <w:sz w:val="20"/>
          <w:szCs w:val="20"/>
          <w:lang w:val="en-US"/>
        </w:rPr>
        <w:t xml:space="preserve">markers of the </w:t>
      </w:r>
      <w:r w:rsidR="00F840D7" w:rsidRPr="003D4A9A">
        <w:rPr>
          <w:rFonts w:ascii="Arial" w:hAnsi="Arial" w:cs="Arial"/>
          <w:sz w:val="20"/>
          <w:szCs w:val="20"/>
          <w:lang w:val="en-US"/>
        </w:rPr>
        <w:t xml:space="preserve">ovarian </w:t>
      </w:r>
      <w:r w:rsidR="00923A3D" w:rsidRPr="003D4A9A">
        <w:rPr>
          <w:rFonts w:ascii="Arial" w:hAnsi="Arial" w:cs="Arial"/>
          <w:sz w:val="20"/>
          <w:szCs w:val="20"/>
          <w:lang w:val="en-US"/>
        </w:rPr>
        <w:t>response to gonadotrophins</w:t>
      </w:r>
      <w:r w:rsidR="00F840D7" w:rsidRPr="003D4A9A">
        <w:rPr>
          <w:rFonts w:ascii="Arial" w:hAnsi="Arial" w:cs="Arial"/>
          <w:sz w:val="20"/>
          <w:szCs w:val="20"/>
          <w:lang w:val="en-US"/>
        </w:rPr>
        <w:t xml:space="preserve">, which accurately </w:t>
      </w:r>
      <w:r w:rsidR="00923A3D" w:rsidRPr="003D4A9A">
        <w:rPr>
          <w:rFonts w:ascii="Arial" w:hAnsi="Arial" w:cs="Arial"/>
          <w:sz w:val="20"/>
          <w:szCs w:val="20"/>
          <w:lang w:val="en-US"/>
        </w:rPr>
        <w:t>reflect the follicular development dynamic</w:t>
      </w:r>
      <w:r w:rsidR="00F840D7" w:rsidRPr="003D4A9A">
        <w:rPr>
          <w:rFonts w:ascii="Arial" w:hAnsi="Arial" w:cs="Arial"/>
          <w:sz w:val="20"/>
          <w:szCs w:val="20"/>
          <w:lang w:val="en-US"/>
        </w:rPr>
        <w:t>s</w:t>
      </w:r>
      <w:r w:rsidR="00923A3D" w:rsidRPr="003D4A9A">
        <w:rPr>
          <w:rFonts w:ascii="Arial" w:hAnsi="Arial" w:cs="Arial"/>
          <w:sz w:val="20"/>
          <w:szCs w:val="20"/>
          <w:lang w:val="en-US"/>
        </w:rPr>
        <w:t>. The objective of this study was t</w:t>
      </w:r>
      <w:r w:rsidRPr="003D4A9A">
        <w:rPr>
          <w:rFonts w:ascii="Arial" w:eastAsia="MalgunGothicBold" w:hAnsi="Arial" w:cs="Arial"/>
          <w:bCs/>
          <w:sz w:val="20"/>
          <w:szCs w:val="20"/>
          <w:lang w:val="en-US"/>
        </w:rPr>
        <w:t xml:space="preserve">o evaluate the effects of </w:t>
      </w:r>
      <w:r w:rsidRPr="003D4A9A">
        <w:rPr>
          <w:rFonts w:ascii="Arial" w:eastAsia="Calibri" w:hAnsi="Arial" w:cs="Arial"/>
          <w:bCs/>
          <w:sz w:val="20"/>
          <w:szCs w:val="20"/>
          <w:lang w:val="en-US"/>
        </w:rPr>
        <w:t>follicular output rate</w:t>
      </w:r>
      <w:r w:rsidRPr="003D4A9A">
        <w:rPr>
          <w:rFonts w:ascii="Arial" w:hAnsi="Arial" w:cs="Arial"/>
          <w:bCs/>
          <w:sz w:val="20"/>
          <w:szCs w:val="20"/>
          <w:lang w:val="en-US"/>
        </w:rPr>
        <w:t xml:space="preserve"> (FORT) and </w:t>
      </w:r>
      <w:r w:rsidRPr="003D4A9A">
        <w:rPr>
          <w:rFonts w:ascii="Arial" w:eastAsia="Calibri" w:hAnsi="Arial" w:cs="Arial"/>
          <w:bCs/>
          <w:sz w:val="20"/>
          <w:szCs w:val="20"/>
          <w:lang w:val="en-US"/>
        </w:rPr>
        <w:t>follicle</w:t>
      </w:r>
      <w:r w:rsidRPr="003D4A9A">
        <w:rPr>
          <w:rFonts w:ascii="Arial" w:hAnsi="Arial" w:cs="Arial"/>
          <w:bCs/>
          <w:sz w:val="20"/>
          <w:szCs w:val="20"/>
          <w:lang w:val="en-US"/>
        </w:rPr>
        <w:t xml:space="preserve"> to </w:t>
      </w:r>
      <w:r w:rsidRPr="003D4A9A">
        <w:rPr>
          <w:rFonts w:ascii="Arial" w:eastAsia="Calibri" w:hAnsi="Arial" w:cs="Arial"/>
          <w:bCs/>
          <w:sz w:val="20"/>
          <w:szCs w:val="20"/>
          <w:lang w:val="en-US"/>
        </w:rPr>
        <w:t>oocyte</w:t>
      </w:r>
      <w:r w:rsidRPr="003D4A9A">
        <w:rPr>
          <w:rFonts w:ascii="Arial" w:hAnsi="Arial" w:cs="Arial"/>
          <w:bCs/>
          <w:sz w:val="20"/>
          <w:szCs w:val="20"/>
          <w:lang w:val="en-US"/>
        </w:rPr>
        <w:t xml:space="preserve"> index (FOI) on embryos </w:t>
      </w:r>
      <w:r w:rsidRPr="003D4A9A">
        <w:rPr>
          <w:rFonts w:ascii="Arial" w:eastAsia="MalgunGothicBold" w:hAnsi="Arial" w:cs="Arial"/>
          <w:bCs/>
          <w:sz w:val="20"/>
          <w:szCs w:val="20"/>
          <w:lang w:val="en-US"/>
        </w:rPr>
        <w:t>morphokinetics.</w:t>
      </w:r>
    </w:p>
    <w:p w14:paraId="4BF23FC3" w14:textId="5DDFF49B" w:rsidR="002E6374" w:rsidRDefault="007C145B" w:rsidP="002E6374">
      <w:pPr>
        <w:pStyle w:val="NormalWeb"/>
        <w:shd w:val="clear" w:color="auto" w:fill="FFFFFF"/>
        <w:spacing w:before="0" w:beforeAutospacing="0" w:after="0" w:afterAutospacing="0" w:line="360" w:lineRule="auto"/>
        <w:jc w:val="both"/>
        <w:rPr>
          <w:rFonts w:ascii="Arial" w:hAnsi="Arial" w:cs="Arial"/>
          <w:sz w:val="20"/>
          <w:szCs w:val="20"/>
          <w:lang w:val="en-US"/>
        </w:rPr>
      </w:pPr>
      <w:r w:rsidRPr="002E6374">
        <w:rPr>
          <w:rFonts w:ascii="Arial" w:hAnsi="Arial" w:cs="Arial"/>
          <w:b/>
          <w:bCs/>
          <w:sz w:val="20"/>
          <w:szCs w:val="20"/>
          <w:lang w:val="en-US"/>
        </w:rPr>
        <w:t>Methods</w:t>
      </w:r>
      <w:r w:rsidR="002E6374" w:rsidRPr="002E6374">
        <w:rPr>
          <w:rFonts w:ascii="Arial" w:hAnsi="Arial" w:cs="Arial"/>
          <w:sz w:val="20"/>
          <w:szCs w:val="20"/>
          <w:lang w:val="en-US"/>
        </w:rPr>
        <w:t xml:space="preserve">: This historical cohort study was performed in a private university-affiliated IVF </w:t>
      </w:r>
      <w:proofErr w:type="spellStart"/>
      <w:r w:rsidR="002E6374" w:rsidRPr="002E6374">
        <w:rPr>
          <w:rFonts w:ascii="Arial" w:hAnsi="Arial" w:cs="Arial"/>
          <w:sz w:val="20"/>
          <w:szCs w:val="20"/>
          <w:lang w:val="en-US"/>
        </w:rPr>
        <w:t>centre</w:t>
      </w:r>
      <w:proofErr w:type="spellEnd"/>
      <w:r w:rsidR="002E6374" w:rsidRPr="002E6374">
        <w:rPr>
          <w:rFonts w:ascii="Arial" w:hAnsi="Arial" w:cs="Arial"/>
          <w:sz w:val="20"/>
          <w:szCs w:val="20"/>
          <w:lang w:val="en-US"/>
        </w:rPr>
        <w:t xml:space="preserve"> between February 2019 and December 2021. Kinetic data were </w:t>
      </w:r>
      <w:proofErr w:type="spellStart"/>
      <w:r w:rsidR="002E6374" w:rsidRPr="002E6374">
        <w:rPr>
          <w:rFonts w:ascii="Arial" w:hAnsi="Arial" w:cs="Arial"/>
          <w:sz w:val="20"/>
          <w:szCs w:val="20"/>
          <w:lang w:val="en-US"/>
        </w:rPr>
        <w:t>analysed</w:t>
      </w:r>
      <w:proofErr w:type="spellEnd"/>
      <w:r w:rsidR="002E6374" w:rsidRPr="002E6374">
        <w:rPr>
          <w:rFonts w:ascii="Arial" w:hAnsi="Arial" w:cs="Arial"/>
          <w:sz w:val="20"/>
          <w:szCs w:val="20"/>
          <w:lang w:val="en-US"/>
        </w:rPr>
        <w:t xml:space="preserve"> in 8,376 embryos, individually cultured in a time-lapse imaging (TLI) </w:t>
      </w:r>
      <w:r w:rsidR="00AF2B84" w:rsidRPr="002E6374">
        <w:rPr>
          <w:rFonts w:ascii="Arial" w:hAnsi="Arial" w:cs="Arial"/>
          <w:sz w:val="20"/>
          <w:szCs w:val="20"/>
          <w:lang w:val="en-US"/>
        </w:rPr>
        <w:t>incubator,</w:t>
      </w:r>
      <w:r w:rsidR="003D4A9A">
        <w:rPr>
          <w:rFonts w:ascii="Arial" w:hAnsi="Arial" w:cs="Arial"/>
          <w:sz w:val="20"/>
          <w:szCs w:val="20"/>
          <w:lang w:val="en-US"/>
        </w:rPr>
        <w:t xml:space="preserve"> </w:t>
      </w:r>
      <w:r w:rsidR="002E6374" w:rsidRPr="002E6374">
        <w:rPr>
          <w:rFonts w:ascii="Arial" w:hAnsi="Arial" w:cs="Arial"/>
          <w:sz w:val="20"/>
          <w:szCs w:val="20"/>
          <w:lang w:val="en-US"/>
        </w:rPr>
        <w:t>derived from 2,470 patients undergoing ICSI cycles. The timing of specific events from the point of insemination was determined using TLI. Recorded kinetic markers were timing to pronuclei appearance (</w:t>
      </w:r>
      <w:proofErr w:type="spellStart"/>
      <w:r w:rsidR="002E6374" w:rsidRPr="002E6374">
        <w:rPr>
          <w:rFonts w:ascii="Arial" w:hAnsi="Arial" w:cs="Arial"/>
          <w:sz w:val="20"/>
          <w:szCs w:val="20"/>
          <w:lang w:val="en-US"/>
        </w:rPr>
        <w:t>tPNa</w:t>
      </w:r>
      <w:proofErr w:type="spellEnd"/>
      <w:r w:rsidR="002E6374" w:rsidRPr="002E6374">
        <w:rPr>
          <w:rFonts w:ascii="Arial" w:hAnsi="Arial" w:cs="Arial"/>
          <w:sz w:val="20"/>
          <w:szCs w:val="20"/>
          <w:lang w:val="en-US"/>
        </w:rPr>
        <w:t>) and fading (</w:t>
      </w:r>
      <w:proofErr w:type="spellStart"/>
      <w:r w:rsidR="002E6374" w:rsidRPr="002E6374">
        <w:rPr>
          <w:rFonts w:ascii="Arial" w:hAnsi="Arial" w:cs="Arial"/>
          <w:sz w:val="20"/>
          <w:szCs w:val="20"/>
          <w:lang w:val="en-US"/>
        </w:rPr>
        <w:t>tPNf</w:t>
      </w:r>
      <w:proofErr w:type="spellEnd"/>
      <w:r w:rsidR="002E6374" w:rsidRPr="002E6374">
        <w:rPr>
          <w:rFonts w:ascii="Arial" w:hAnsi="Arial" w:cs="Arial"/>
          <w:sz w:val="20"/>
          <w:szCs w:val="20"/>
          <w:lang w:val="en-US"/>
        </w:rPr>
        <w:t xml:space="preserve">), timing to two (t2), three (t3), four (t4), five (t5), six (t6), seven (t7), and eight cells (t8), and timing </w:t>
      </w:r>
      <w:proofErr w:type="spellStart"/>
      <w:r w:rsidR="002E6374" w:rsidRPr="002E6374">
        <w:rPr>
          <w:rFonts w:ascii="Arial" w:hAnsi="Arial" w:cs="Arial"/>
          <w:sz w:val="20"/>
          <w:szCs w:val="20"/>
          <w:lang w:val="en-US"/>
        </w:rPr>
        <w:t>morulation</w:t>
      </w:r>
      <w:proofErr w:type="spellEnd"/>
      <w:r w:rsidR="002E6374" w:rsidRPr="002E6374">
        <w:rPr>
          <w:rFonts w:ascii="Arial" w:hAnsi="Arial" w:cs="Arial"/>
          <w:sz w:val="20"/>
          <w:szCs w:val="20"/>
          <w:lang w:val="en-US"/>
        </w:rPr>
        <w:t xml:space="preserve"> (</w:t>
      </w:r>
      <w:proofErr w:type="spellStart"/>
      <w:r w:rsidR="002E6374" w:rsidRPr="002E6374">
        <w:rPr>
          <w:rFonts w:ascii="Arial" w:hAnsi="Arial" w:cs="Arial"/>
          <w:sz w:val="20"/>
          <w:szCs w:val="20"/>
          <w:lang w:val="en-US"/>
        </w:rPr>
        <w:t>tM</w:t>
      </w:r>
      <w:proofErr w:type="spellEnd"/>
      <w:r w:rsidR="002E6374" w:rsidRPr="002E6374">
        <w:rPr>
          <w:rFonts w:ascii="Arial" w:hAnsi="Arial" w:cs="Arial"/>
          <w:sz w:val="20"/>
          <w:szCs w:val="20"/>
          <w:lang w:val="en-US"/>
        </w:rPr>
        <w:t xml:space="preserve">), timing to start </w:t>
      </w:r>
      <w:proofErr w:type="spellStart"/>
      <w:r w:rsidR="002E6374" w:rsidRPr="002E6374">
        <w:rPr>
          <w:rFonts w:ascii="Arial" w:hAnsi="Arial" w:cs="Arial"/>
          <w:sz w:val="20"/>
          <w:szCs w:val="20"/>
          <w:lang w:val="en-US"/>
        </w:rPr>
        <w:t>blastulation</w:t>
      </w:r>
      <w:proofErr w:type="spellEnd"/>
      <w:r w:rsidR="002E6374" w:rsidRPr="002E6374">
        <w:rPr>
          <w:rFonts w:ascii="Arial" w:hAnsi="Arial" w:cs="Arial"/>
          <w:sz w:val="20"/>
          <w:szCs w:val="20"/>
          <w:lang w:val="en-US"/>
        </w:rPr>
        <w:t xml:space="preserve"> (</w:t>
      </w:r>
      <w:proofErr w:type="spellStart"/>
      <w:r w:rsidR="002E6374" w:rsidRPr="002E6374">
        <w:rPr>
          <w:rFonts w:ascii="Arial" w:hAnsi="Arial" w:cs="Arial"/>
          <w:sz w:val="20"/>
          <w:szCs w:val="20"/>
          <w:lang w:val="en-US"/>
        </w:rPr>
        <w:t>tSB</w:t>
      </w:r>
      <w:proofErr w:type="spellEnd"/>
      <w:r w:rsidR="002E6374" w:rsidRPr="002E6374">
        <w:rPr>
          <w:rFonts w:ascii="Arial" w:hAnsi="Arial" w:cs="Arial"/>
          <w:sz w:val="20"/>
          <w:szCs w:val="20"/>
          <w:lang w:val="en-US"/>
        </w:rPr>
        <w:t xml:space="preserve">) and to </w:t>
      </w:r>
      <w:proofErr w:type="spellStart"/>
      <w:r w:rsidR="002E6374" w:rsidRPr="002E6374">
        <w:rPr>
          <w:rFonts w:ascii="Arial" w:hAnsi="Arial" w:cs="Arial"/>
          <w:sz w:val="20"/>
          <w:szCs w:val="20"/>
          <w:lang w:val="en-US"/>
        </w:rPr>
        <w:t>blastulation</w:t>
      </w:r>
      <w:proofErr w:type="spellEnd"/>
      <w:r w:rsidR="002E6374" w:rsidRPr="002E6374">
        <w:rPr>
          <w:rFonts w:ascii="Arial" w:hAnsi="Arial" w:cs="Arial"/>
          <w:sz w:val="20"/>
          <w:szCs w:val="20"/>
          <w:lang w:val="en-US"/>
        </w:rPr>
        <w:t xml:space="preserve"> (</w:t>
      </w:r>
      <w:proofErr w:type="spellStart"/>
      <w:r w:rsidR="002E6374" w:rsidRPr="002E6374">
        <w:rPr>
          <w:rFonts w:ascii="Arial" w:hAnsi="Arial" w:cs="Arial"/>
          <w:sz w:val="20"/>
          <w:szCs w:val="20"/>
          <w:lang w:val="en-US"/>
        </w:rPr>
        <w:t>tB</w:t>
      </w:r>
      <w:proofErr w:type="spellEnd"/>
      <w:r w:rsidR="002E6374" w:rsidRPr="002E6374">
        <w:rPr>
          <w:rFonts w:ascii="Arial" w:hAnsi="Arial" w:cs="Arial"/>
          <w:sz w:val="20"/>
          <w:szCs w:val="20"/>
          <w:lang w:val="en-US"/>
        </w:rPr>
        <w:t>). The durations of the second (cc2, t3-t2) and third cell cycles (cc3, t5-t3) and the timing to complete synchronous divisions t2-tPNf (s1), t4-t3 (s2) and t8-t5 (s3) were</w:t>
      </w:r>
      <w:r w:rsidR="002E6374">
        <w:rPr>
          <w:rFonts w:ascii="Arial" w:hAnsi="Arial" w:cs="Arial"/>
          <w:sz w:val="20"/>
          <w:szCs w:val="20"/>
          <w:lang w:val="en-US"/>
        </w:rPr>
        <w:t xml:space="preserve"> also</w:t>
      </w:r>
      <w:r w:rsidR="002E6374" w:rsidRPr="002E6374">
        <w:rPr>
          <w:rFonts w:ascii="Arial" w:hAnsi="Arial" w:cs="Arial"/>
          <w:sz w:val="20"/>
          <w:szCs w:val="20"/>
          <w:lang w:val="en-US"/>
        </w:rPr>
        <w:t xml:space="preserve"> calculated.</w:t>
      </w:r>
      <w:r w:rsidR="002E6374">
        <w:rPr>
          <w:rFonts w:ascii="Arial" w:hAnsi="Arial" w:cs="Arial"/>
          <w:sz w:val="20"/>
          <w:szCs w:val="20"/>
          <w:lang w:val="en-US"/>
        </w:rPr>
        <w:t xml:space="preserve"> </w:t>
      </w:r>
      <w:r w:rsidR="002E6374" w:rsidRPr="002E6374">
        <w:rPr>
          <w:rFonts w:ascii="Arial" w:hAnsi="Arial" w:cs="Arial"/>
          <w:sz w:val="20"/>
          <w:szCs w:val="20"/>
          <w:lang w:val="en-US"/>
        </w:rPr>
        <w:t>The effects of</w:t>
      </w:r>
      <w:r w:rsidR="002E6374">
        <w:rPr>
          <w:rFonts w:ascii="Arial" w:hAnsi="Arial" w:cs="Arial"/>
          <w:sz w:val="20"/>
          <w:szCs w:val="20"/>
          <w:lang w:val="en-US"/>
        </w:rPr>
        <w:t xml:space="preserve"> </w:t>
      </w:r>
      <w:r w:rsidR="002E6374" w:rsidRPr="002E6374">
        <w:rPr>
          <w:rFonts w:ascii="Arial" w:hAnsi="Arial" w:cs="Arial"/>
          <w:sz w:val="20"/>
          <w:szCs w:val="20"/>
          <w:lang w:val="en-US"/>
        </w:rPr>
        <w:t>FORT and FOI the levels on morphokinetic events and ICSI clinical outcomes were investigated.</w:t>
      </w:r>
      <w:r w:rsidR="002E6374">
        <w:rPr>
          <w:rFonts w:ascii="Arial" w:hAnsi="Arial" w:cs="Arial"/>
          <w:sz w:val="20"/>
          <w:szCs w:val="20"/>
          <w:lang w:val="en-US"/>
        </w:rPr>
        <w:t xml:space="preserve"> For that, e</w:t>
      </w:r>
      <w:r w:rsidR="002E6374" w:rsidRPr="002E6374">
        <w:rPr>
          <w:rFonts w:ascii="Arial" w:hAnsi="Arial" w:cs="Arial"/>
          <w:sz w:val="20"/>
          <w:szCs w:val="20"/>
          <w:lang w:val="en-US"/>
        </w:rPr>
        <w:t>mbryos were split into groups according to FOI value: FOI&lt; 50 (Low</w:t>
      </w:r>
      <w:r w:rsidR="002E6374">
        <w:rPr>
          <w:rFonts w:ascii="Arial" w:hAnsi="Arial" w:cs="Arial"/>
          <w:sz w:val="20"/>
          <w:szCs w:val="20"/>
          <w:lang w:val="en-US"/>
        </w:rPr>
        <w:t>-</w:t>
      </w:r>
      <w:r w:rsidR="002E6374" w:rsidRPr="002E6374">
        <w:rPr>
          <w:rFonts w:ascii="Arial" w:hAnsi="Arial" w:cs="Arial"/>
          <w:sz w:val="20"/>
          <w:szCs w:val="20"/>
          <w:lang w:val="en-US"/>
        </w:rPr>
        <w:t>FOI, n=247 cycles and 894 embryos) and FOI≥ 50 (high</w:t>
      </w:r>
      <w:r w:rsidR="002E6374">
        <w:rPr>
          <w:rFonts w:ascii="Arial" w:hAnsi="Arial" w:cs="Arial"/>
          <w:sz w:val="20"/>
          <w:szCs w:val="20"/>
          <w:lang w:val="en-US"/>
        </w:rPr>
        <w:t>-</w:t>
      </w:r>
      <w:r w:rsidR="002E6374" w:rsidRPr="002E6374">
        <w:rPr>
          <w:rFonts w:ascii="Arial" w:hAnsi="Arial" w:cs="Arial"/>
          <w:sz w:val="20"/>
          <w:szCs w:val="20"/>
          <w:lang w:val="en-US"/>
        </w:rPr>
        <w:t>FOI, n=2,223 cycles and 7,482 embryos) and according to the FORT value: FORT values below the 33rd percentile, FORT&lt; 27.3 (low</w:t>
      </w:r>
      <w:r w:rsidR="002E6374">
        <w:rPr>
          <w:rFonts w:ascii="Arial" w:hAnsi="Arial" w:cs="Arial"/>
          <w:sz w:val="20"/>
          <w:szCs w:val="20"/>
          <w:lang w:val="en-US"/>
        </w:rPr>
        <w:t>-</w:t>
      </w:r>
      <w:r w:rsidR="002E6374" w:rsidRPr="002E6374">
        <w:rPr>
          <w:rFonts w:ascii="Arial" w:hAnsi="Arial" w:cs="Arial"/>
          <w:sz w:val="20"/>
          <w:szCs w:val="20"/>
          <w:lang w:val="en-US"/>
        </w:rPr>
        <w:t>FORT, n= 753 cycle and 2,556 embryos), FORT values between the 33rd and the 67th percentile, FORT: 27.3–47.6 (medium</w:t>
      </w:r>
      <w:r w:rsidR="002E6374">
        <w:rPr>
          <w:rFonts w:ascii="Arial" w:hAnsi="Arial" w:cs="Arial"/>
          <w:sz w:val="20"/>
          <w:szCs w:val="20"/>
          <w:lang w:val="en-US"/>
        </w:rPr>
        <w:t>-</w:t>
      </w:r>
      <w:r w:rsidR="002E6374" w:rsidRPr="002E6374">
        <w:rPr>
          <w:rFonts w:ascii="Arial" w:hAnsi="Arial" w:cs="Arial"/>
          <w:sz w:val="20"/>
          <w:szCs w:val="20"/>
          <w:lang w:val="en-US"/>
        </w:rPr>
        <w:t>FORT, n=874 cycles and 2,970 embryos), and FORT values above the 67th percentile, FORT&gt; 47.6 (high</w:t>
      </w:r>
      <w:r w:rsidR="002E6374">
        <w:rPr>
          <w:rFonts w:ascii="Arial" w:hAnsi="Arial" w:cs="Arial"/>
          <w:sz w:val="20"/>
          <w:szCs w:val="20"/>
          <w:lang w:val="en-US"/>
        </w:rPr>
        <w:t>-</w:t>
      </w:r>
      <w:r w:rsidR="002E6374" w:rsidRPr="002E6374">
        <w:rPr>
          <w:rFonts w:ascii="Arial" w:hAnsi="Arial" w:cs="Arial"/>
          <w:sz w:val="20"/>
          <w:szCs w:val="20"/>
          <w:lang w:val="en-US"/>
        </w:rPr>
        <w:t>FORT, n=843 cycles and 2,850 embryos). Embryo morphokinetics and ICSI outcomes were compared among the FOI and FORT groups.</w:t>
      </w:r>
    </w:p>
    <w:p w14:paraId="4C5F0C70" w14:textId="77777777" w:rsidR="002E6374" w:rsidRDefault="002E6374" w:rsidP="002E6374">
      <w:pPr>
        <w:pStyle w:val="Estilo"/>
        <w:spacing w:line="480" w:lineRule="auto"/>
        <w:ind w:right="-98"/>
        <w:jc w:val="both"/>
        <w:rPr>
          <w:rFonts w:cs="Arial"/>
          <w:sz w:val="20"/>
          <w:szCs w:val="20"/>
          <w:lang w:val="en-US"/>
        </w:rPr>
      </w:pPr>
    </w:p>
    <w:p w14:paraId="6EDB821F" w14:textId="1BDCF153" w:rsidR="004F1519" w:rsidRPr="007A4409" w:rsidRDefault="007C145B" w:rsidP="004F1519">
      <w:pPr>
        <w:pStyle w:val="Estilo"/>
        <w:spacing w:line="360" w:lineRule="auto"/>
        <w:ind w:right="-98"/>
        <w:jc w:val="both"/>
        <w:rPr>
          <w:rFonts w:cs="Arial"/>
          <w:sz w:val="20"/>
          <w:szCs w:val="20"/>
          <w:lang w:val="en-US"/>
        </w:rPr>
      </w:pPr>
      <w:r w:rsidRPr="002E6374">
        <w:rPr>
          <w:rFonts w:cs="Arial"/>
          <w:b/>
          <w:bCs/>
          <w:sz w:val="20"/>
          <w:szCs w:val="20"/>
          <w:lang w:val="en-US"/>
        </w:rPr>
        <w:t>Results</w:t>
      </w:r>
      <w:r w:rsidR="002E6374" w:rsidRPr="002E6374">
        <w:rPr>
          <w:rFonts w:cs="Arial"/>
          <w:sz w:val="20"/>
          <w:szCs w:val="20"/>
          <w:lang w:val="en-US"/>
        </w:rPr>
        <w:t xml:space="preserve">: </w:t>
      </w:r>
      <w:bookmarkStart w:id="2" w:name="_Hlk120099144"/>
      <w:r w:rsidR="004F1519" w:rsidRPr="002E6374">
        <w:rPr>
          <w:rFonts w:cs="Arial"/>
          <w:sz w:val="20"/>
          <w:szCs w:val="20"/>
          <w:lang w:val="en-US"/>
        </w:rPr>
        <w:t xml:space="preserve">A significant difference was noted in almost all morphokinetic parameters, where embryos derived from cycles with an </w:t>
      </w:r>
      <w:bookmarkStart w:id="3" w:name="_Hlk131512304"/>
      <w:r w:rsidR="004F1519" w:rsidRPr="002E6374">
        <w:rPr>
          <w:rFonts w:cs="Arial"/>
          <w:sz w:val="20"/>
          <w:szCs w:val="20"/>
          <w:lang w:val="en-US"/>
        </w:rPr>
        <w:t xml:space="preserve">FOI &lt;50 </w:t>
      </w:r>
      <w:bookmarkEnd w:id="3"/>
      <w:r w:rsidR="004F1519" w:rsidRPr="002E6374">
        <w:rPr>
          <w:rFonts w:cs="Arial"/>
          <w:sz w:val="20"/>
          <w:szCs w:val="20"/>
          <w:lang w:val="en-US"/>
        </w:rPr>
        <w:t xml:space="preserve">presented slower development than embryos derived from cycles with </w:t>
      </w:r>
      <w:r w:rsidR="004F1519" w:rsidRPr="007A4409">
        <w:rPr>
          <w:rFonts w:cs="Arial"/>
          <w:sz w:val="20"/>
          <w:szCs w:val="20"/>
          <w:lang w:val="en-US"/>
        </w:rPr>
        <w:t xml:space="preserve">an FOI ≥50, considering </w:t>
      </w:r>
      <w:proofErr w:type="spellStart"/>
      <w:r w:rsidR="004F1519" w:rsidRPr="007A4409">
        <w:rPr>
          <w:rFonts w:cs="Arial"/>
          <w:sz w:val="20"/>
          <w:szCs w:val="20"/>
          <w:lang w:val="en-US"/>
        </w:rPr>
        <w:t>tPNf</w:t>
      </w:r>
      <w:proofErr w:type="spellEnd"/>
      <w:r w:rsidR="004F1519" w:rsidRPr="007A4409">
        <w:rPr>
          <w:rFonts w:cs="Arial"/>
          <w:sz w:val="20"/>
          <w:szCs w:val="20"/>
          <w:lang w:val="en-US"/>
        </w:rPr>
        <w:t xml:space="preserve">, t2, t4, t6, t7, t8, </w:t>
      </w:r>
      <w:proofErr w:type="spellStart"/>
      <w:r w:rsidR="004F1519" w:rsidRPr="007A4409">
        <w:rPr>
          <w:rFonts w:cs="Arial"/>
          <w:sz w:val="20"/>
          <w:szCs w:val="20"/>
          <w:lang w:val="en-US"/>
        </w:rPr>
        <w:t>tM</w:t>
      </w:r>
      <w:proofErr w:type="spellEnd"/>
      <w:r w:rsidR="004F1519" w:rsidRPr="007A4409">
        <w:rPr>
          <w:rFonts w:cs="Arial"/>
          <w:sz w:val="20"/>
          <w:szCs w:val="20"/>
          <w:lang w:val="en-US"/>
        </w:rPr>
        <w:t xml:space="preserve">, </w:t>
      </w:r>
      <w:proofErr w:type="spellStart"/>
      <w:r w:rsidR="004F1519" w:rsidRPr="007A4409">
        <w:rPr>
          <w:rFonts w:cs="Arial"/>
          <w:sz w:val="20"/>
          <w:szCs w:val="20"/>
          <w:lang w:val="en-US"/>
        </w:rPr>
        <w:t>tB</w:t>
      </w:r>
      <w:proofErr w:type="spellEnd"/>
      <w:r w:rsidR="004F1519" w:rsidRPr="007A4409">
        <w:rPr>
          <w:rFonts w:cs="Arial"/>
          <w:sz w:val="20"/>
          <w:szCs w:val="20"/>
          <w:lang w:val="en-US"/>
        </w:rPr>
        <w:t>, s1, s2, s3, and cc2. A significantly higher KID score D5 was observed among embryos derived from cycles with an FOI ≥ 50 when compared with those with an FOI &lt; 50</w:t>
      </w:r>
      <w:r w:rsidR="008A67DD" w:rsidRPr="007A4409">
        <w:rPr>
          <w:rFonts w:cs="Arial"/>
          <w:sz w:val="20"/>
          <w:szCs w:val="20"/>
          <w:lang w:val="en-US"/>
        </w:rPr>
        <w:t xml:space="preserve">. </w:t>
      </w:r>
      <w:r w:rsidR="004F1519" w:rsidRPr="007A4409">
        <w:rPr>
          <w:rFonts w:cs="Arial"/>
          <w:sz w:val="20"/>
          <w:szCs w:val="20"/>
          <w:lang w:val="en-US"/>
        </w:rPr>
        <w:t xml:space="preserve">Additionally, increased blastocyst formation and implantation rates were noted among cycles with higher FOIs (Table 1). An increased time to complete morphokinetic events was observed among embryos derived from cycles with low FORT, followed by those with medium FORT, while embryos derived from cycles with high FORT presented a faster development competence: </w:t>
      </w:r>
      <w:proofErr w:type="spellStart"/>
      <w:r w:rsidR="004F1519" w:rsidRPr="007A4409">
        <w:rPr>
          <w:rFonts w:cs="Arial"/>
          <w:sz w:val="20"/>
          <w:szCs w:val="20"/>
          <w:lang w:val="en-US"/>
        </w:rPr>
        <w:t>tPNa</w:t>
      </w:r>
      <w:proofErr w:type="spellEnd"/>
      <w:r w:rsidR="004F1519" w:rsidRPr="007A4409">
        <w:rPr>
          <w:rFonts w:cs="Arial"/>
          <w:sz w:val="20"/>
          <w:szCs w:val="20"/>
          <w:lang w:val="en-US"/>
        </w:rPr>
        <w:t xml:space="preserve">, t2, t4, t5, t6, t7, t8, </w:t>
      </w:r>
      <w:proofErr w:type="spellStart"/>
      <w:r w:rsidR="004F1519" w:rsidRPr="007A4409">
        <w:rPr>
          <w:rFonts w:cs="Arial"/>
          <w:sz w:val="20"/>
          <w:szCs w:val="20"/>
          <w:lang w:val="en-US"/>
        </w:rPr>
        <w:t>tsB</w:t>
      </w:r>
      <w:proofErr w:type="spellEnd"/>
      <w:r w:rsidR="004F1519" w:rsidRPr="007A4409">
        <w:rPr>
          <w:rFonts w:cs="Arial"/>
          <w:sz w:val="20"/>
          <w:szCs w:val="20"/>
          <w:lang w:val="en-US"/>
        </w:rPr>
        <w:t xml:space="preserve">, s2, s3. Embryos derived from cycles with high FORT presented a higher Kid Score D5, followed by those derived from cycles with medium FORT, and embryos from cycles with low FORT presented the lowest </w:t>
      </w:r>
      <w:r w:rsidR="004F1519" w:rsidRPr="007A4409">
        <w:rPr>
          <w:rFonts w:cs="Arial"/>
          <w:sz w:val="20"/>
          <w:szCs w:val="20"/>
          <w:lang w:val="en-US"/>
        </w:rPr>
        <w:lastRenderedPageBreak/>
        <w:t>KID score. Significantly higher rates of blastocyst formation and implantation were observed in embryos derived from cycles with high FORT, followed by those with medium FORT, while embryos from cycles with low FORT presented the lowest blastocyst formation and implantation rates</w:t>
      </w:r>
      <w:r w:rsidR="00421BCF" w:rsidRPr="007A4409">
        <w:rPr>
          <w:rFonts w:cs="Arial"/>
          <w:sz w:val="20"/>
          <w:szCs w:val="20"/>
          <w:lang w:val="en-US"/>
        </w:rPr>
        <w:t xml:space="preserve"> (Table 1).</w:t>
      </w:r>
    </w:p>
    <w:bookmarkEnd w:id="2"/>
    <w:p w14:paraId="406DC87E" w14:textId="77777777" w:rsidR="002E6374" w:rsidRPr="007A4409" w:rsidRDefault="002E6374" w:rsidP="002E6374">
      <w:pPr>
        <w:pStyle w:val="NormalWeb"/>
        <w:shd w:val="clear" w:color="auto" w:fill="FFFFFF"/>
        <w:spacing w:before="0" w:beforeAutospacing="0" w:after="0" w:afterAutospacing="0" w:line="360" w:lineRule="auto"/>
        <w:jc w:val="both"/>
        <w:rPr>
          <w:rFonts w:ascii="Arial" w:hAnsi="Arial" w:cs="Arial"/>
          <w:sz w:val="20"/>
          <w:szCs w:val="20"/>
          <w:lang w:val="en-US"/>
        </w:rPr>
      </w:pPr>
    </w:p>
    <w:p w14:paraId="68FFB4AF" w14:textId="13B005D6" w:rsidR="007C145B" w:rsidRPr="002E6374" w:rsidRDefault="007C145B" w:rsidP="002E6374">
      <w:pPr>
        <w:pStyle w:val="NormalWeb"/>
        <w:shd w:val="clear" w:color="auto" w:fill="FFFFFF"/>
        <w:spacing w:before="0" w:beforeAutospacing="0" w:after="0" w:afterAutospacing="0" w:line="360" w:lineRule="auto"/>
        <w:jc w:val="both"/>
        <w:rPr>
          <w:rFonts w:ascii="Arial" w:hAnsi="Arial" w:cs="Arial"/>
          <w:sz w:val="20"/>
          <w:szCs w:val="20"/>
          <w:lang w:val="en-GB"/>
        </w:rPr>
      </w:pPr>
      <w:r w:rsidRPr="007A4409">
        <w:rPr>
          <w:rFonts w:ascii="Arial" w:hAnsi="Arial" w:cs="Arial"/>
          <w:b/>
          <w:bCs/>
          <w:sz w:val="20"/>
          <w:szCs w:val="20"/>
          <w:lang w:val="en-US"/>
        </w:rPr>
        <w:t>Conclusion</w:t>
      </w:r>
      <w:r w:rsidR="002E6374" w:rsidRPr="007A4409">
        <w:rPr>
          <w:rFonts w:ascii="Arial" w:hAnsi="Arial" w:cs="Arial"/>
          <w:b/>
          <w:bCs/>
          <w:sz w:val="20"/>
          <w:szCs w:val="20"/>
          <w:lang w:val="en-US"/>
        </w:rPr>
        <w:t>:</w:t>
      </w:r>
      <w:r w:rsidR="00BF1BF3" w:rsidRPr="007A4409">
        <w:rPr>
          <w:rFonts w:ascii="Arial" w:hAnsi="Arial" w:cs="Arial"/>
          <w:b/>
          <w:bCs/>
          <w:sz w:val="20"/>
          <w:szCs w:val="20"/>
          <w:lang w:val="en-US"/>
        </w:rPr>
        <w:t xml:space="preserve"> </w:t>
      </w:r>
      <w:r w:rsidR="00BF1BF3" w:rsidRPr="007A4409">
        <w:rPr>
          <w:rFonts w:ascii="Arial" w:hAnsi="Arial" w:cs="Arial"/>
          <w:sz w:val="20"/>
          <w:szCs w:val="20"/>
          <w:lang w:val="en-US"/>
        </w:rPr>
        <w:t>T</w:t>
      </w:r>
      <w:r w:rsidR="002E6374" w:rsidRPr="007A4409">
        <w:rPr>
          <w:rFonts w:ascii="Arial" w:hAnsi="Arial" w:cs="Arial"/>
          <w:sz w:val="20"/>
          <w:szCs w:val="20"/>
          <w:lang w:val="en-US"/>
        </w:rPr>
        <w:t>his study highlights the association between FORT and FOI and embryo morphokinetic development</w:t>
      </w:r>
      <w:r w:rsidR="00BF1BF3" w:rsidRPr="007A4409">
        <w:rPr>
          <w:rFonts w:ascii="Arial" w:hAnsi="Arial" w:cs="Arial"/>
          <w:sz w:val="20"/>
          <w:szCs w:val="20"/>
          <w:lang w:val="en-US"/>
        </w:rPr>
        <w:t>, suggesting that FORT and FOI are both quantitative and qualitative markers of oocyte retrieval related to ovarian activity and ovarian stimulation</w:t>
      </w:r>
      <w:r w:rsidR="002E6374" w:rsidRPr="007A4409">
        <w:rPr>
          <w:rFonts w:ascii="Arial" w:hAnsi="Arial" w:cs="Arial"/>
          <w:sz w:val="20"/>
          <w:szCs w:val="20"/>
          <w:lang w:val="en-US"/>
        </w:rPr>
        <w:t xml:space="preserve">. </w:t>
      </w:r>
      <w:r w:rsidR="005F0480" w:rsidRPr="007A4409">
        <w:rPr>
          <w:rFonts w:ascii="Arial" w:hAnsi="Arial" w:cs="Arial"/>
          <w:sz w:val="20"/>
          <w:szCs w:val="20"/>
          <w:lang w:val="en-US"/>
        </w:rPr>
        <w:t xml:space="preserve">It could be suggested that higher FOI and FORT are associated with the retrieval of better-quality oocytes, which in turn results in better embryonic development. </w:t>
      </w:r>
      <w:r w:rsidR="002E6374" w:rsidRPr="007A4409">
        <w:rPr>
          <w:rFonts w:ascii="Arial" w:hAnsi="Arial" w:cs="Arial"/>
          <w:sz w:val="20"/>
          <w:szCs w:val="20"/>
          <w:lang w:val="en-US"/>
        </w:rPr>
        <w:t>Significant positive relationships were observed between embryo development and these parameters, which would not be detected in embryos cultured in conventional incubators. It is possible that the deselection</w:t>
      </w:r>
      <w:r w:rsidR="002E6374" w:rsidRPr="002E6374">
        <w:rPr>
          <w:rFonts w:ascii="Arial" w:hAnsi="Arial" w:cs="Arial"/>
          <w:sz w:val="20"/>
          <w:szCs w:val="20"/>
          <w:lang w:val="en-US"/>
        </w:rPr>
        <w:t xml:space="preserve"> of these embryos may have prevented an effect on clinical pregnancy, but additional research is needed to validate this assumption.</w:t>
      </w:r>
    </w:p>
    <w:p w14:paraId="1B3B7714" w14:textId="77777777" w:rsidR="002E6374" w:rsidRDefault="002E6374" w:rsidP="002E6374">
      <w:pPr>
        <w:pStyle w:val="NormalWeb"/>
        <w:shd w:val="clear" w:color="auto" w:fill="FFFFFF"/>
        <w:spacing w:before="0" w:beforeAutospacing="0" w:after="0" w:afterAutospacing="0" w:line="360" w:lineRule="auto"/>
        <w:jc w:val="both"/>
        <w:rPr>
          <w:rStyle w:val="Forte"/>
          <w:rFonts w:ascii="Arial" w:hAnsi="Arial" w:cs="Arial"/>
          <w:sz w:val="20"/>
          <w:szCs w:val="20"/>
          <w:lang w:val="en-US"/>
        </w:rPr>
      </w:pPr>
    </w:p>
    <w:p w14:paraId="35CDFC08" w14:textId="0B414FCD" w:rsidR="007C145B" w:rsidRPr="002E6374" w:rsidRDefault="007C145B" w:rsidP="002E6374">
      <w:pPr>
        <w:pStyle w:val="NormalWeb"/>
        <w:shd w:val="clear" w:color="auto" w:fill="FFFFFF"/>
        <w:spacing w:before="0" w:beforeAutospacing="0" w:after="0" w:afterAutospacing="0" w:line="360" w:lineRule="auto"/>
        <w:jc w:val="both"/>
        <w:rPr>
          <w:rFonts w:ascii="Arial" w:hAnsi="Arial" w:cs="Arial"/>
          <w:sz w:val="20"/>
          <w:szCs w:val="20"/>
          <w:lang w:val="en-US"/>
        </w:rPr>
      </w:pPr>
      <w:r w:rsidRPr="002E6374">
        <w:rPr>
          <w:rStyle w:val="Forte"/>
          <w:rFonts w:ascii="Arial" w:hAnsi="Arial" w:cs="Arial"/>
          <w:sz w:val="20"/>
          <w:szCs w:val="20"/>
          <w:lang w:val="en-US"/>
        </w:rPr>
        <w:t>Keywords:</w:t>
      </w:r>
      <w:r w:rsidR="002E6374">
        <w:rPr>
          <w:rFonts w:ascii="Arial" w:hAnsi="Arial" w:cs="Arial"/>
          <w:sz w:val="20"/>
          <w:szCs w:val="20"/>
          <w:lang w:val="en-US"/>
        </w:rPr>
        <w:t xml:space="preserve"> </w:t>
      </w:r>
      <w:r w:rsidR="002E6374" w:rsidRPr="002E6374">
        <w:rPr>
          <w:rFonts w:ascii="Arial" w:hAnsi="Arial" w:cs="Arial"/>
          <w:sz w:val="20"/>
          <w:szCs w:val="20"/>
          <w:lang w:val="en-US"/>
        </w:rPr>
        <w:t>Time-lapse microscopy; morphokinetic assessment; Follicular Output Rate (FORT)</w:t>
      </w:r>
      <w:r w:rsidR="00767739">
        <w:rPr>
          <w:rFonts w:ascii="Arial" w:hAnsi="Arial" w:cs="Arial"/>
          <w:sz w:val="20"/>
          <w:szCs w:val="20"/>
          <w:lang w:val="en-US"/>
        </w:rPr>
        <w:t xml:space="preserve">, </w:t>
      </w:r>
      <w:r w:rsidR="002E6374" w:rsidRPr="002E6374">
        <w:rPr>
          <w:rFonts w:ascii="Arial" w:hAnsi="Arial" w:cs="Arial"/>
          <w:sz w:val="20"/>
          <w:szCs w:val="20"/>
          <w:lang w:val="en-US"/>
        </w:rPr>
        <w:t>Follicle-to-Oocyte index (FOI)</w:t>
      </w:r>
    </w:p>
    <w:p w14:paraId="0E7E1C46" w14:textId="2058FBB0" w:rsidR="00B5380A" w:rsidRDefault="00B5380A" w:rsidP="002E6374">
      <w:pPr>
        <w:spacing w:after="0" w:line="360" w:lineRule="auto"/>
        <w:rPr>
          <w:rFonts w:ascii="Arial" w:hAnsi="Arial" w:cs="Arial"/>
          <w:sz w:val="20"/>
          <w:szCs w:val="20"/>
          <w:lang w:val="en-US"/>
        </w:rPr>
      </w:pPr>
    </w:p>
    <w:p w14:paraId="31173861" w14:textId="40D0CFE9" w:rsidR="0091509D" w:rsidRDefault="0091509D">
      <w:pPr>
        <w:rPr>
          <w:rFonts w:ascii="Arial" w:hAnsi="Arial" w:cs="Arial"/>
          <w:sz w:val="20"/>
          <w:szCs w:val="20"/>
          <w:lang w:val="en-US"/>
        </w:rPr>
      </w:pPr>
      <w:r>
        <w:rPr>
          <w:rFonts w:ascii="Arial" w:hAnsi="Arial" w:cs="Arial"/>
          <w:sz w:val="20"/>
          <w:szCs w:val="20"/>
          <w:lang w:val="en-US"/>
        </w:rPr>
        <w:br w:type="page"/>
      </w:r>
    </w:p>
    <w:p w14:paraId="0BF5E1B5" w14:textId="77777777" w:rsidR="0091509D" w:rsidRDefault="0091509D" w:rsidP="0091509D">
      <w:pPr>
        <w:spacing w:line="360" w:lineRule="auto"/>
        <w:jc w:val="both"/>
        <w:rPr>
          <w:rFonts w:ascii="Arial" w:eastAsia="Times New Roman" w:hAnsi="Arial" w:cs="Arial"/>
          <w:b/>
          <w:color w:val="000000" w:themeColor="text1"/>
          <w:sz w:val="20"/>
          <w:szCs w:val="20"/>
          <w:shd w:val="clear" w:color="auto" w:fill="FFFFFF"/>
          <w:lang w:val="en-US" w:eastAsia="pt-BR"/>
        </w:rPr>
        <w:sectPr w:rsidR="0091509D">
          <w:headerReference w:type="default" r:id="rId7"/>
          <w:pgSz w:w="11906" w:h="16838"/>
          <w:pgMar w:top="1417" w:right="1701" w:bottom="1417" w:left="1701" w:header="708" w:footer="708" w:gutter="0"/>
          <w:cols w:space="708"/>
          <w:docGrid w:linePitch="360"/>
        </w:sectPr>
      </w:pPr>
    </w:p>
    <w:p w14:paraId="69825101" w14:textId="759B5924" w:rsidR="00FE5F4B" w:rsidRPr="00420FE2" w:rsidRDefault="00310C0A" w:rsidP="008A67DD">
      <w:pPr>
        <w:jc w:val="both"/>
        <w:rPr>
          <w:rFonts w:ascii="Arial" w:hAnsi="Arial" w:cs="Arial"/>
          <w:b/>
          <w:sz w:val="20"/>
          <w:szCs w:val="20"/>
          <w:lang w:val="en-US"/>
        </w:rPr>
      </w:pPr>
      <w:r w:rsidRPr="00420FE2">
        <w:rPr>
          <w:rFonts w:ascii="Arial" w:eastAsia="Times New Roman" w:hAnsi="Arial" w:cs="Arial"/>
          <w:b/>
          <w:color w:val="000000" w:themeColor="text1"/>
          <w:sz w:val="20"/>
          <w:szCs w:val="20"/>
          <w:shd w:val="clear" w:color="auto" w:fill="FFFFFF"/>
          <w:lang w:val="en-US" w:eastAsia="pt-BR"/>
        </w:rPr>
        <w:lastRenderedPageBreak/>
        <w:t xml:space="preserve">Table 1: </w:t>
      </w:r>
      <w:r w:rsidR="009730F2" w:rsidRPr="00420FE2">
        <w:rPr>
          <w:rFonts w:ascii="Arial" w:eastAsia="Times New Roman" w:hAnsi="Arial" w:cs="Arial"/>
          <w:b/>
          <w:color w:val="000000" w:themeColor="text1"/>
          <w:sz w:val="20"/>
          <w:szCs w:val="20"/>
          <w:shd w:val="clear" w:color="auto" w:fill="FFFFFF"/>
          <w:lang w:val="en-US" w:eastAsia="pt-BR"/>
        </w:rPr>
        <w:t>Comparison of known implantation diagnosis (KID) score D5 and intracytoplasmic sperm injection (ICSI) outcomes between</w:t>
      </w:r>
      <w:r w:rsidRPr="00420FE2">
        <w:rPr>
          <w:rFonts w:ascii="Arial" w:eastAsia="Times New Roman" w:hAnsi="Arial" w:cs="Arial"/>
          <w:b/>
          <w:color w:val="000000" w:themeColor="text1"/>
          <w:sz w:val="20"/>
          <w:szCs w:val="20"/>
          <w:shd w:val="clear" w:color="auto" w:fill="FFFFFF"/>
          <w:lang w:val="en-US" w:eastAsia="pt-BR"/>
        </w:rPr>
        <w:t xml:space="preserve"> </w:t>
      </w:r>
      <w:r w:rsidRPr="00420FE2">
        <w:rPr>
          <w:rFonts w:ascii="Arial" w:eastAsia="Times New Roman" w:hAnsi="Arial" w:cs="Arial"/>
          <w:b/>
          <w:color w:val="000000"/>
          <w:sz w:val="20"/>
          <w:szCs w:val="20"/>
          <w:lang w:val="en-US" w:eastAsia="pt-BR"/>
        </w:rPr>
        <w:t xml:space="preserve">the </w:t>
      </w:r>
      <w:r w:rsidRPr="00420FE2">
        <w:rPr>
          <w:rFonts w:ascii="Arial" w:eastAsia="Times New Roman" w:hAnsi="Arial" w:cs="Arial"/>
          <w:b/>
          <w:color w:val="000000" w:themeColor="text1"/>
          <w:sz w:val="20"/>
          <w:szCs w:val="20"/>
          <w:shd w:val="clear" w:color="auto" w:fill="FFFFFF"/>
          <w:lang w:val="en-US" w:eastAsia="pt-BR"/>
        </w:rPr>
        <w:t xml:space="preserve">low and high </w:t>
      </w:r>
      <w:bookmarkStart w:id="4" w:name="_Hlk114480679"/>
      <w:r w:rsidRPr="00420FE2">
        <w:rPr>
          <w:rFonts w:ascii="Arial" w:hAnsi="Arial" w:cs="Arial"/>
          <w:b/>
          <w:color w:val="000000" w:themeColor="text1"/>
          <w:sz w:val="20"/>
          <w:szCs w:val="20"/>
          <w:lang w:val="en-US"/>
        </w:rPr>
        <w:t>Follicle-To-Oocyte (FOI)</w:t>
      </w:r>
      <w:bookmarkEnd w:id="4"/>
      <w:r w:rsidRPr="00420FE2">
        <w:rPr>
          <w:rFonts w:ascii="Arial" w:hAnsi="Arial" w:cs="Arial"/>
          <w:b/>
          <w:color w:val="000000" w:themeColor="text1"/>
          <w:sz w:val="20"/>
          <w:szCs w:val="20"/>
          <w:lang w:val="en-US"/>
        </w:rPr>
        <w:t xml:space="preserve"> </w:t>
      </w:r>
      <w:r w:rsidRPr="00420FE2">
        <w:rPr>
          <w:rFonts w:ascii="Arial" w:eastAsia="Calibri" w:hAnsi="Arial" w:cs="Arial"/>
          <w:b/>
          <w:color w:val="000000"/>
          <w:sz w:val="20"/>
          <w:szCs w:val="20"/>
          <w:lang w:val="en-US"/>
        </w:rPr>
        <w:t>index</w:t>
      </w:r>
      <w:r w:rsidRPr="00420FE2">
        <w:rPr>
          <w:rFonts w:ascii="Arial" w:eastAsia="Times New Roman" w:hAnsi="Arial" w:cs="Arial"/>
          <w:b/>
          <w:color w:val="000000" w:themeColor="text1"/>
          <w:sz w:val="20"/>
          <w:szCs w:val="20"/>
          <w:shd w:val="clear" w:color="auto" w:fill="FFFFFF"/>
          <w:lang w:val="en-US" w:eastAsia="pt-BR"/>
        </w:rPr>
        <w:t xml:space="preserve"> groups and </w:t>
      </w:r>
      <w:r w:rsidR="0091509D" w:rsidRPr="00420FE2">
        <w:rPr>
          <w:rFonts w:ascii="Arial" w:hAnsi="Arial" w:cs="Arial"/>
          <w:b/>
          <w:sz w:val="20"/>
          <w:szCs w:val="20"/>
          <w:lang w:val="en-US"/>
        </w:rPr>
        <w:t xml:space="preserve">between the low, </w:t>
      </w:r>
      <w:proofErr w:type="gramStart"/>
      <w:r w:rsidR="0091509D" w:rsidRPr="00420FE2">
        <w:rPr>
          <w:rFonts w:ascii="Arial" w:hAnsi="Arial" w:cs="Arial"/>
          <w:b/>
          <w:sz w:val="20"/>
          <w:szCs w:val="20"/>
          <w:lang w:val="en-US"/>
        </w:rPr>
        <w:t>medium</w:t>
      </w:r>
      <w:proofErr w:type="gramEnd"/>
      <w:r w:rsidR="0091509D" w:rsidRPr="00420FE2">
        <w:rPr>
          <w:rFonts w:ascii="Arial" w:hAnsi="Arial" w:cs="Arial"/>
          <w:b/>
          <w:sz w:val="20"/>
          <w:szCs w:val="20"/>
          <w:lang w:val="en-US"/>
        </w:rPr>
        <w:t xml:space="preserve"> and high follicular output rate (FORT) groups</w:t>
      </w:r>
      <w:r w:rsidRPr="00420FE2">
        <w:rPr>
          <w:rFonts w:ascii="Arial" w:hAnsi="Arial" w:cs="Arial"/>
          <w:b/>
          <w:sz w:val="20"/>
          <w:szCs w:val="20"/>
          <w:lang w:val="en-US"/>
        </w:rPr>
        <w:t>.</w:t>
      </w:r>
    </w:p>
    <w:tbl>
      <w:tblPr>
        <w:tblW w:w="1117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972"/>
        <w:gridCol w:w="1637"/>
        <w:gridCol w:w="1676"/>
        <w:gridCol w:w="1017"/>
        <w:gridCol w:w="1177"/>
        <w:gridCol w:w="1471"/>
        <w:gridCol w:w="1207"/>
        <w:gridCol w:w="1017"/>
      </w:tblGrid>
      <w:tr w:rsidR="00FE5F4B" w:rsidRPr="00D14534" w14:paraId="5BFE4DA4" w14:textId="77777777" w:rsidTr="00AE590C">
        <w:trPr>
          <w:trHeight w:val="340"/>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476A845B" w14:textId="00015C28" w:rsidR="00FE5F4B" w:rsidRPr="00D14534" w:rsidRDefault="00EC30BE" w:rsidP="00EC30BE">
            <w:pPr>
              <w:spacing w:after="0" w:line="240" w:lineRule="auto"/>
              <w:jc w:val="center"/>
              <w:rPr>
                <w:rFonts w:ascii="Arial" w:eastAsia="Times New Roman" w:hAnsi="Arial" w:cs="Arial"/>
                <w:b/>
                <w:bCs/>
                <w:color w:val="000000" w:themeColor="text1"/>
                <w:sz w:val="18"/>
                <w:szCs w:val="18"/>
                <w:lang w:eastAsia="pt-BR"/>
              </w:rPr>
            </w:pPr>
            <w:r w:rsidRPr="00D14534">
              <w:rPr>
                <w:rFonts w:ascii="Arial" w:eastAsia="Times New Roman" w:hAnsi="Arial" w:cs="Arial"/>
                <w:b/>
                <w:bCs/>
                <w:color w:val="000000" w:themeColor="text1"/>
                <w:sz w:val="18"/>
                <w:szCs w:val="18"/>
                <w:lang w:eastAsia="pt-BR"/>
              </w:rPr>
              <w:t>Variable</w:t>
            </w:r>
          </w:p>
        </w:tc>
        <w:tc>
          <w:tcPr>
            <w:tcW w:w="1637" w:type="dxa"/>
            <w:tcBorders>
              <w:top w:val="single" w:sz="4" w:space="0" w:color="auto"/>
              <w:left w:val="single" w:sz="4" w:space="0" w:color="auto"/>
              <w:bottom w:val="single" w:sz="4" w:space="0" w:color="auto"/>
            </w:tcBorders>
            <w:vAlign w:val="center"/>
          </w:tcPr>
          <w:p w14:paraId="5C646D99" w14:textId="77777777" w:rsidR="00FE5F4B" w:rsidRPr="00D14534" w:rsidRDefault="00FE5F4B" w:rsidP="002200D3">
            <w:pPr>
              <w:spacing w:after="0" w:line="240" w:lineRule="auto"/>
              <w:jc w:val="center"/>
              <w:rPr>
                <w:rFonts w:ascii="Arial" w:eastAsia="Times New Roman" w:hAnsi="Arial" w:cs="Arial"/>
                <w:b/>
                <w:color w:val="000000" w:themeColor="text1"/>
                <w:sz w:val="18"/>
                <w:szCs w:val="18"/>
                <w:lang w:eastAsia="pt-BR"/>
              </w:rPr>
            </w:pPr>
            <w:proofErr w:type="spellStart"/>
            <w:r w:rsidRPr="00D14534">
              <w:rPr>
                <w:rFonts w:ascii="Arial" w:hAnsi="Arial" w:cs="Arial"/>
                <w:b/>
                <w:color w:val="000000" w:themeColor="text1"/>
                <w:sz w:val="18"/>
                <w:szCs w:val="18"/>
                <w:shd w:val="clear" w:color="auto" w:fill="FFFFFF"/>
              </w:rPr>
              <w:t>Low</w:t>
            </w:r>
            <w:proofErr w:type="spellEnd"/>
            <w:r w:rsidRPr="00D14534">
              <w:rPr>
                <w:rFonts w:ascii="Arial" w:hAnsi="Arial" w:cs="Arial"/>
                <w:b/>
                <w:color w:val="000000" w:themeColor="text1"/>
                <w:sz w:val="18"/>
                <w:szCs w:val="18"/>
                <w:shd w:val="clear" w:color="auto" w:fill="FFFFFF"/>
              </w:rPr>
              <w:t xml:space="preserve"> FOI </w:t>
            </w:r>
          </w:p>
        </w:tc>
        <w:tc>
          <w:tcPr>
            <w:tcW w:w="1676" w:type="dxa"/>
            <w:tcBorders>
              <w:top w:val="single" w:sz="4" w:space="0" w:color="auto"/>
              <w:bottom w:val="single" w:sz="4" w:space="0" w:color="auto"/>
            </w:tcBorders>
            <w:vAlign w:val="center"/>
          </w:tcPr>
          <w:p w14:paraId="13CD7EEB" w14:textId="77777777" w:rsidR="00FE5F4B" w:rsidRPr="00D14534" w:rsidRDefault="00FE5F4B" w:rsidP="002200D3">
            <w:pPr>
              <w:spacing w:after="0" w:line="240" w:lineRule="auto"/>
              <w:jc w:val="center"/>
              <w:rPr>
                <w:rFonts w:ascii="Arial" w:eastAsia="Times New Roman" w:hAnsi="Arial" w:cs="Arial"/>
                <w:b/>
                <w:color w:val="000000" w:themeColor="text1"/>
                <w:sz w:val="18"/>
                <w:szCs w:val="18"/>
                <w:lang w:eastAsia="pt-BR"/>
              </w:rPr>
            </w:pPr>
            <w:r w:rsidRPr="00D14534">
              <w:rPr>
                <w:rFonts w:ascii="Arial" w:hAnsi="Arial" w:cs="Arial"/>
                <w:b/>
                <w:color w:val="000000" w:themeColor="text1"/>
                <w:sz w:val="18"/>
                <w:szCs w:val="18"/>
                <w:shd w:val="clear" w:color="auto" w:fill="FFFFFF"/>
              </w:rPr>
              <w:t xml:space="preserve">High FOI </w:t>
            </w:r>
          </w:p>
        </w:tc>
        <w:tc>
          <w:tcPr>
            <w:tcW w:w="1017" w:type="dxa"/>
            <w:tcBorders>
              <w:top w:val="single" w:sz="4" w:space="0" w:color="auto"/>
              <w:bottom w:val="single" w:sz="4" w:space="0" w:color="auto"/>
              <w:right w:val="single" w:sz="4" w:space="0" w:color="auto"/>
            </w:tcBorders>
            <w:vAlign w:val="center"/>
          </w:tcPr>
          <w:p w14:paraId="4D8ACC45" w14:textId="77777777" w:rsidR="00FE5F4B" w:rsidRPr="00D14534" w:rsidRDefault="00FE5F4B" w:rsidP="002200D3">
            <w:pPr>
              <w:spacing w:after="0" w:line="240" w:lineRule="auto"/>
              <w:jc w:val="center"/>
              <w:rPr>
                <w:rFonts w:ascii="Arial" w:eastAsia="Times New Roman" w:hAnsi="Arial" w:cs="Arial"/>
                <w:b/>
                <w:color w:val="000000" w:themeColor="text1"/>
                <w:sz w:val="18"/>
                <w:szCs w:val="18"/>
                <w:lang w:eastAsia="pt-BR"/>
              </w:rPr>
            </w:pPr>
            <w:r w:rsidRPr="00D14534">
              <w:rPr>
                <w:rFonts w:ascii="Arial" w:eastAsia="Times New Roman" w:hAnsi="Arial" w:cs="Arial"/>
                <w:b/>
                <w:color w:val="000000" w:themeColor="text1"/>
                <w:sz w:val="18"/>
                <w:szCs w:val="18"/>
                <w:lang w:eastAsia="pt-BR"/>
              </w:rPr>
              <w:t xml:space="preserve">p </w:t>
            </w:r>
            <w:proofErr w:type="spellStart"/>
            <w:r w:rsidRPr="00D14534">
              <w:rPr>
                <w:rFonts w:ascii="Arial" w:eastAsia="Times New Roman" w:hAnsi="Arial" w:cs="Arial"/>
                <w:b/>
                <w:color w:val="000000" w:themeColor="text1"/>
                <w:sz w:val="18"/>
                <w:szCs w:val="18"/>
                <w:lang w:eastAsia="pt-BR"/>
              </w:rPr>
              <w:t>value</w:t>
            </w:r>
            <w:proofErr w:type="spellEnd"/>
          </w:p>
        </w:tc>
        <w:tc>
          <w:tcPr>
            <w:tcW w:w="1177" w:type="dxa"/>
            <w:tcBorders>
              <w:top w:val="single" w:sz="4" w:space="0" w:color="auto"/>
              <w:left w:val="single" w:sz="4" w:space="0" w:color="auto"/>
              <w:bottom w:val="single" w:sz="4" w:space="0" w:color="auto"/>
            </w:tcBorders>
            <w:vAlign w:val="center"/>
          </w:tcPr>
          <w:p w14:paraId="60CB572B" w14:textId="77777777" w:rsidR="00FE5F4B" w:rsidRPr="0059112F" w:rsidRDefault="00FE5F4B" w:rsidP="002200D3">
            <w:pPr>
              <w:spacing w:after="0" w:line="240" w:lineRule="auto"/>
              <w:jc w:val="center"/>
              <w:rPr>
                <w:rFonts w:ascii="Arial" w:eastAsia="Times New Roman" w:hAnsi="Arial" w:cs="Arial"/>
                <w:b/>
                <w:bCs/>
                <w:color w:val="000000" w:themeColor="text1"/>
                <w:sz w:val="18"/>
                <w:szCs w:val="18"/>
                <w:lang w:eastAsia="pt-BR"/>
              </w:rPr>
            </w:pPr>
            <w:proofErr w:type="spellStart"/>
            <w:r w:rsidRPr="0059112F">
              <w:rPr>
                <w:rFonts w:ascii="Arial" w:hAnsi="Arial" w:cs="Arial"/>
                <w:b/>
                <w:bCs/>
                <w:color w:val="000000" w:themeColor="text1"/>
                <w:sz w:val="18"/>
                <w:szCs w:val="18"/>
              </w:rPr>
              <w:t>Low</w:t>
            </w:r>
            <w:proofErr w:type="spellEnd"/>
            <w:r w:rsidRPr="0059112F">
              <w:rPr>
                <w:rFonts w:ascii="Arial" w:hAnsi="Arial" w:cs="Arial"/>
                <w:b/>
                <w:bCs/>
                <w:color w:val="000000" w:themeColor="text1"/>
                <w:sz w:val="18"/>
                <w:szCs w:val="18"/>
              </w:rPr>
              <w:t xml:space="preserve"> FORT </w:t>
            </w:r>
          </w:p>
        </w:tc>
        <w:tc>
          <w:tcPr>
            <w:tcW w:w="1471" w:type="dxa"/>
            <w:tcBorders>
              <w:top w:val="single" w:sz="4" w:space="0" w:color="auto"/>
              <w:bottom w:val="single" w:sz="4" w:space="0" w:color="auto"/>
            </w:tcBorders>
            <w:vAlign w:val="center"/>
          </w:tcPr>
          <w:p w14:paraId="73DC003C" w14:textId="77777777" w:rsidR="00FE5F4B" w:rsidRPr="0059112F" w:rsidRDefault="00FE5F4B" w:rsidP="002200D3">
            <w:pPr>
              <w:spacing w:after="0" w:line="240" w:lineRule="auto"/>
              <w:jc w:val="center"/>
              <w:rPr>
                <w:rFonts w:ascii="Arial" w:eastAsia="Times New Roman" w:hAnsi="Arial" w:cs="Arial"/>
                <w:b/>
                <w:bCs/>
                <w:color w:val="000000" w:themeColor="text1"/>
                <w:sz w:val="18"/>
                <w:szCs w:val="18"/>
                <w:lang w:eastAsia="pt-BR"/>
              </w:rPr>
            </w:pPr>
            <w:proofErr w:type="spellStart"/>
            <w:r w:rsidRPr="0059112F">
              <w:rPr>
                <w:rFonts w:ascii="Arial" w:hAnsi="Arial" w:cs="Arial"/>
                <w:b/>
                <w:bCs/>
                <w:color w:val="000000" w:themeColor="text1"/>
                <w:sz w:val="18"/>
                <w:szCs w:val="18"/>
              </w:rPr>
              <w:t>Medium</w:t>
            </w:r>
            <w:proofErr w:type="spellEnd"/>
            <w:r w:rsidRPr="0059112F">
              <w:rPr>
                <w:rFonts w:ascii="Arial" w:hAnsi="Arial" w:cs="Arial"/>
                <w:b/>
                <w:bCs/>
                <w:color w:val="000000" w:themeColor="text1"/>
                <w:sz w:val="18"/>
                <w:szCs w:val="18"/>
              </w:rPr>
              <w:t xml:space="preserve"> FORT </w:t>
            </w:r>
          </w:p>
        </w:tc>
        <w:tc>
          <w:tcPr>
            <w:tcW w:w="1207" w:type="dxa"/>
            <w:tcBorders>
              <w:top w:val="single" w:sz="4" w:space="0" w:color="auto"/>
              <w:bottom w:val="single" w:sz="4" w:space="0" w:color="auto"/>
            </w:tcBorders>
            <w:vAlign w:val="center"/>
          </w:tcPr>
          <w:p w14:paraId="1549E810" w14:textId="77777777" w:rsidR="00FE5F4B" w:rsidRPr="0059112F" w:rsidRDefault="00FE5F4B" w:rsidP="002200D3">
            <w:pPr>
              <w:spacing w:after="0" w:line="240" w:lineRule="auto"/>
              <w:jc w:val="center"/>
              <w:rPr>
                <w:rFonts w:ascii="Arial" w:eastAsia="Times New Roman" w:hAnsi="Arial" w:cs="Arial"/>
                <w:b/>
                <w:bCs/>
                <w:color w:val="000000" w:themeColor="text1"/>
                <w:sz w:val="18"/>
                <w:szCs w:val="18"/>
                <w:lang w:eastAsia="pt-BR"/>
              </w:rPr>
            </w:pPr>
            <w:r w:rsidRPr="0059112F">
              <w:rPr>
                <w:rFonts w:ascii="Arial" w:hAnsi="Arial" w:cs="Arial"/>
                <w:b/>
                <w:bCs/>
                <w:color w:val="000000" w:themeColor="text1"/>
                <w:sz w:val="18"/>
                <w:szCs w:val="18"/>
              </w:rPr>
              <w:t xml:space="preserve">High FORT </w:t>
            </w:r>
          </w:p>
        </w:tc>
        <w:tc>
          <w:tcPr>
            <w:tcW w:w="1017" w:type="dxa"/>
            <w:tcBorders>
              <w:top w:val="single" w:sz="4" w:space="0" w:color="auto"/>
              <w:bottom w:val="single" w:sz="4" w:space="0" w:color="auto"/>
              <w:right w:val="single" w:sz="4" w:space="0" w:color="auto"/>
            </w:tcBorders>
            <w:vAlign w:val="center"/>
          </w:tcPr>
          <w:p w14:paraId="4F587166" w14:textId="77777777" w:rsidR="00FE5F4B" w:rsidRPr="00D14534" w:rsidRDefault="00FE5F4B" w:rsidP="002200D3">
            <w:pPr>
              <w:spacing w:after="0" w:line="240" w:lineRule="auto"/>
              <w:jc w:val="center"/>
              <w:rPr>
                <w:rFonts w:ascii="Arial" w:eastAsia="Times New Roman" w:hAnsi="Arial" w:cs="Arial"/>
                <w:b/>
                <w:color w:val="000000" w:themeColor="text1"/>
                <w:sz w:val="18"/>
                <w:szCs w:val="18"/>
                <w:lang w:eastAsia="pt-BR"/>
              </w:rPr>
            </w:pPr>
            <w:r w:rsidRPr="00D14534">
              <w:rPr>
                <w:rFonts w:ascii="Arial" w:eastAsia="Times New Roman" w:hAnsi="Arial" w:cs="Arial"/>
                <w:b/>
                <w:color w:val="000000" w:themeColor="text1"/>
                <w:sz w:val="18"/>
                <w:szCs w:val="18"/>
                <w:lang w:eastAsia="pt-BR"/>
              </w:rPr>
              <w:t xml:space="preserve">p </w:t>
            </w:r>
            <w:proofErr w:type="spellStart"/>
            <w:r w:rsidRPr="00D14534">
              <w:rPr>
                <w:rFonts w:ascii="Arial" w:eastAsia="Times New Roman" w:hAnsi="Arial" w:cs="Arial"/>
                <w:b/>
                <w:color w:val="000000" w:themeColor="text1"/>
                <w:sz w:val="18"/>
                <w:szCs w:val="18"/>
                <w:lang w:eastAsia="pt-BR"/>
              </w:rPr>
              <w:t>value</w:t>
            </w:r>
            <w:proofErr w:type="spellEnd"/>
          </w:p>
        </w:tc>
      </w:tr>
      <w:tr w:rsidR="00FE5F4B" w:rsidRPr="00D14534" w14:paraId="1AACD781" w14:textId="77777777" w:rsidTr="00AE590C">
        <w:trPr>
          <w:trHeight w:val="340"/>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45F56272" w14:textId="77777777" w:rsidR="00FE5F4B" w:rsidRPr="00D14534" w:rsidRDefault="00FE5F4B" w:rsidP="002200D3">
            <w:pPr>
              <w:spacing w:after="0" w:line="240" w:lineRule="auto"/>
              <w:jc w:val="center"/>
              <w:rPr>
                <w:rFonts w:ascii="Arial" w:eastAsia="Times New Roman" w:hAnsi="Arial" w:cs="Arial"/>
                <w:b/>
                <w:bCs/>
                <w:color w:val="000000" w:themeColor="text1"/>
                <w:sz w:val="18"/>
                <w:szCs w:val="18"/>
                <w:lang w:eastAsia="pt-BR"/>
              </w:rPr>
            </w:pPr>
            <w:r w:rsidRPr="00D14534">
              <w:rPr>
                <w:rFonts w:ascii="Arial" w:eastAsia="Times New Roman" w:hAnsi="Arial" w:cs="Arial"/>
                <w:b/>
                <w:bCs/>
                <w:color w:val="000000" w:themeColor="text1"/>
                <w:sz w:val="18"/>
                <w:szCs w:val="18"/>
                <w:lang w:eastAsia="pt-BR"/>
              </w:rPr>
              <w:t>n</w:t>
            </w:r>
          </w:p>
        </w:tc>
        <w:tc>
          <w:tcPr>
            <w:tcW w:w="1637" w:type="dxa"/>
            <w:tcBorders>
              <w:top w:val="single" w:sz="4" w:space="0" w:color="auto"/>
              <w:left w:val="single" w:sz="4" w:space="0" w:color="auto"/>
              <w:bottom w:val="single" w:sz="4" w:space="0" w:color="auto"/>
            </w:tcBorders>
            <w:vAlign w:val="center"/>
          </w:tcPr>
          <w:p w14:paraId="71CE8F65" w14:textId="77777777" w:rsidR="00FE5F4B" w:rsidRPr="00D14534" w:rsidRDefault="00FE5F4B" w:rsidP="002200D3">
            <w:pPr>
              <w:spacing w:after="0" w:line="240" w:lineRule="auto"/>
              <w:jc w:val="center"/>
              <w:rPr>
                <w:rFonts w:ascii="Arial" w:hAnsi="Arial" w:cs="Arial"/>
                <w:bCs/>
                <w:color w:val="000000" w:themeColor="text1"/>
                <w:sz w:val="18"/>
                <w:szCs w:val="18"/>
                <w:shd w:val="clear" w:color="auto" w:fill="FFFFFF"/>
              </w:rPr>
            </w:pPr>
            <w:r w:rsidRPr="00D14534">
              <w:rPr>
                <w:rFonts w:ascii="Arial" w:hAnsi="Arial" w:cs="Arial"/>
                <w:bCs/>
                <w:color w:val="000000" w:themeColor="text1"/>
                <w:sz w:val="18"/>
                <w:szCs w:val="18"/>
                <w:shd w:val="clear" w:color="auto" w:fill="FFFFFF"/>
              </w:rPr>
              <w:t>894</w:t>
            </w:r>
          </w:p>
        </w:tc>
        <w:tc>
          <w:tcPr>
            <w:tcW w:w="1676" w:type="dxa"/>
            <w:tcBorders>
              <w:top w:val="single" w:sz="4" w:space="0" w:color="auto"/>
              <w:bottom w:val="single" w:sz="4" w:space="0" w:color="auto"/>
            </w:tcBorders>
            <w:vAlign w:val="center"/>
          </w:tcPr>
          <w:p w14:paraId="1C6009AF" w14:textId="77777777" w:rsidR="00FE5F4B" w:rsidRPr="00D14534" w:rsidRDefault="00FE5F4B" w:rsidP="002200D3">
            <w:pPr>
              <w:spacing w:after="0" w:line="240" w:lineRule="auto"/>
              <w:jc w:val="center"/>
              <w:rPr>
                <w:rFonts w:ascii="Arial" w:hAnsi="Arial" w:cs="Arial"/>
                <w:bCs/>
                <w:color w:val="000000" w:themeColor="text1"/>
                <w:sz w:val="18"/>
                <w:szCs w:val="18"/>
                <w:shd w:val="clear" w:color="auto" w:fill="FFFFFF"/>
              </w:rPr>
            </w:pPr>
            <w:r w:rsidRPr="00D14534">
              <w:rPr>
                <w:rFonts w:ascii="Arial" w:hAnsi="Arial" w:cs="Arial"/>
                <w:bCs/>
                <w:color w:val="000000" w:themeColor="text1"/>
                <w:sz w:val="18"/>
                <w:szCs w:val="18"/>
                <w:shd w:val="clear" w:color="auto" w:fill="FFFFFF"/>
              </w:rPr>
              <w:t>7532</w:t>
            </w:r>
          </w:p>
        </w:tc>
        <w:tc>
          <w:tcPr>
            <w:tcW w:w="1017" w:type="dxa"/>
            <w:tcBorders>
              <w:top w:val="single" w:sz="4" w:space="0" w:color="auto"/>
              <w:bottom w:val="single" w:sz="4" w:space="0" w:color="auto"/>
              <w:right w:val="single" w:sz="4" w:space="0" w:color="auto"/>
            </w:tcBorders>
            <w:vAlign w:val="center"/>
          </w:tcPr>
          <w:p w14:paraId="2B6038F2" w14:textId="77777777" w:rsidR="00FE5F4B" w:rsidRPr="00D14534" w:rsidRDefault="00FE5F4B" w:rsidP="002200D3">
            <w:pPr>
              <w:spacing w:after="0" w:line="240" w:lineRule="auto"/>
              <w:jc w:val="center"/>
              <w:rPr>
                <w:rFonts w:ascii="Arial" w:eastAsia="Times New Roman" w:hAnsi="Arial" w:cs="Arial"/>
                <w:bCs/>
                <w:color w:val="000000" w:themeColor="text1"/>
                <w:sz w:val="18"/>
                <w:szCs w:val="18"/>
                <w:lang w:eastAsia="pt-BR"/>
              </w:rPr>
            </w:pPr>
          </w:p>
        </w:tc>
        <w:tc>
          <w:tcPr>
            <w:tcW w:w="1177" w:type="dxa"/>
            <w:tcBorders>
              <w:top w:val="single" w:sz="4" w:space="0" w:color="auto"/>
              <w:left w:val="single" w:sz="4" w:space="0" w:color="auto"/>
              <w:bottom w:val="single" w:sz="4" w:space="0" w:color="auto"/>
            </w:tcBorders>
            <w:vAlign w:val="center"/>
          </w:tcPr>
          <w:p w14:paraId="25756280" w14:textId="77777777" w:rsidR="00FE5F4B" w:rsidRPr="00D14534" w:rsidRDefault="00FE5F4B" w:rsidP="002200D3">
            <w:pPr>
              <w:spacing w:after="0" w:line="240" w:lineRule="auto"/>
              <w:jc w:val="center"/>
              <w:rPr>
                <w:rFonts w:ascii="Arial" w:eastAsia="Times New Roman" w:hAnsi="Arial" w:cs="Arial"/>
                <w:bCs/>
                <w:color w:val="000000" w:themeColor="text1"/>
                <w:sz w:val="18"/>
                <w:szCs w:val="18"/>
                <w:lang w:eastAsia="pt-BR"/>
              </w:rPr>
            </w:pPr>
            <w:r w:rsidRPr="00D14534">
              <w:rPr>
                <w:rFonts w:ascii="Arial" w:eastAsia="Times New Roman" w:hAnsi="Arial" w:cs="Arial"/>
                <w:color w:val="000000" w:themeColor="text1"/>
                <w:sz w:val="18"/>
                <w:szCs w:val="18"/>
                <w:lang w:eastAsia="pt-BR"/>
              </w:rPr>
              <w:t>2,556</w:t>
            </w:r>
          </w:p>
        </w:tc>
        <w:tc>
          <w:tcPr>
            <w:tcW w:w="1471" w:type="dxa"/>
            <w:tcBorders>
              <w:top w:val="single" w:sz="4" w:space="0" w:color="auto"/>
              <w:bottom w:val="single" w:sz="4" w:space="0" w:color="auto"/>
            </w:tcBorders>
            <w:vAlign w:val="center"/>
          </w:tcPr>
          <w:p w14:paraId="23508006" w14:textId="77777777" w:rsidR="00FE5F4B" w:rsidRPr="00D14534" w:rsidRDefault="00FE5F4B" w:rsidP="002200D3">
            <w:pPr>
              <w:spacing w:after="0" w:line="240" w:lineRule="auto"/>
              <w:jc w:val="center"/>
              <w:rPr>
                <w:rFonts w:ascii="Arial" w:eastAsia="Times New Roman" w:hAnsi="Arial" w:cs="Arial"/>
                <w:bCs/>
                <w:color w:val="000000" w:themeColor="text1"/>
                <w:sz w:val="18"/>
                <w:szCs w:val="18"/>
                <w:lang w:eastAsia="pt-BR"/>
              </w:rPr>
            </w:pPr>
            <w:r w:rsidRPr="00D14534">
              <w:rPr>
                <w:rFonts w:ascii="Arial" w:hAnsi="Arial" w:cs="Arial"/>
                <w:color w:val="000000" w:themeColor="text1"/>
                <w:sz w:val="18"/>
                <w:szCs w:val="18"/>
              </w:rPr>
              <w:t>2,970</w:t>
            </w:r>
          </w:p>
        </w:tc>
        <w:tc>
          <w:tcPr>
            <w:tcW w:w="1207" w:type="dxa"/>
            <w:tcBorders>
              <w:top w:val="single" w:sz="4" w:space="0" w:color="auto"/>
              <w:bottom w:val="single" w:sz="4" w:space="0" w:color="auto"/>
            </w:tcBorders>
            <w:vAlign w:val="center"/>
          </w:tcPr>
          <w:p w14:paraId="1FEDCC43" w14:textId="77777777" w:rsidR="00FE5F4B" w:rsidRPr="00D14534" w:rsidRDefault="00FE5F4B" w:rsidP="002200D3">
            <w:pPr>
              <w:spacing w:after="0" w:line="240" w:lineRule="auto"/>
              <w:jc w:val="center"/>
              <w:rPr>
                <w:rFonts w:ascii="Arial" w:eastAsia="Times New Roman" w:hAnsi="Arial" w:cs="Arial"/>
                <w:bCs/>
                <w:color w:val="000000" w:themeColor="text1"/>
                <w:sz w:val="18"/>
                <w:szCs w:val="18"/>
                <w:lang w:eastAsia="pt-BR"/>
              </w:rPr>
            </w:pPr>
            <w:r w:rsidRPr="00D14534">
              <w:rPr>
                <w:rFonts w:ascii="Arial" w:hAnsi="Arial" w:cs="Arial"/>
                <w:color w:val="000000" w:themeColor="text1"/>
                <w:sz w:val="18"/>
                <w:szCs w:val="18"/>
              </w:rPr>
              <w:t>2,850</w:t>
            </w:r>
          </w:p>
        </w:tc>
        <w:tc>
          <w:tcPr>
            <w:tcW w:w="1017" w:type="dxa"/>
            <w:tcBorders>
              <w:top w:val="single" w:sz="4" w:space="0" w:color="auto"/>
              <w:bottom w:val="single" w:sz="4" w:space="0" w:color="auto"/>
              <w:right w:val="single" w:sz="4" w:space="0" w:color="auto"/>
            </w:tcBorders>
            <w:vAlign w:val="center"/>
          </w:tcPr>
          <w:p w14:paraId="00C1E270" w14:textId="77777777" w:rsidR="00FE5F4B" w:rsidRPr="00D14534" w:rsidRDefault="00FE5F4B" w:rsidP="002200D3">
            <w:pPr>
              <w:spacing w:after="0" w:line="240" w:lineRule="auto"/>
              <w:jc w:val="center"/>
              <w:rPr>
                <w:rFonts w:ascii="Arial" w:eastAsia="Times New Roman" w:hAnsi="Arial" w:cs="Arial"/>
                <w:bCs/>
                <w:color w:val="000000" w:themeColor="text1"/>
                <w:sz w:val="18"/>
                <w:szCs w:val="18"/>
                <w:lang w:eastAsia="pt-BR"/>
              </w:rPr>
            </w:pPr>
          </w:p>
        </w:tc>
      </w:tr>
      <w:tr w:rsidR="00A164BD" w:rsidRPr="00D14534" w14:paraId="74963E93" w14:textId="77777777" w:rsidTr="00AE590C">
        <w:trPr>
          <w:trHeight w:val="340"/>
          <w:jc w:val="center"/>
        </w:trPr>
        <w:tc>
          <w:tcPr>
            <w:tcW w:w="1972" w:type="dxa"/>
            <w:tcBorders>
              <w:top w:val="single" w:sz="4" w:space="0" w:color="auto"/>
              <w:left w:val="single" w:sz="4" w:space="0" w:color="auto"/>
              <w:right w:val="single" w:sz="4" w:space="0" w:color="auto"/>
            </w:tcBorders>
            <w:shd w:val="clear" w:color="auto" w:fill="auto"/>
            <w:vAlign w:val="center"/>
          </w:tcPr>
          <w:p w14:paraId="73D434E8" w14:textId="03C02B9F" w:rsidR="00A164BD" w:rsidRPr="00D14534" w:rsidRDefault="00A164BD" w:rsidP="00A164BD">
            <w:pPr>
              <w:spacing w:after="0" w:line="240" w:lineRule="auto"/>
              <w:jc w:val="center"/>
              <w:rPr>
                <w:rFonts w:ascii="Arial" w:eastAsia="Times New Roman" w:hAnsi="Arial" w:cs="Arial"/>
                <w:b/>
                <w:bCs/>
                <w:color w:val="000000" w:themeColor="text1"/>
                <w:sz w:val="18"/>
                <w:szCs w:val="18"/>
                <w:lang w:eastAsia="pt-BR"/>
              </w:rPr>
            </w:pPr>
            <w:r w:rsidRPr="00D14534">
              <w:rPr>
                <w:rFonts w:ascii="Arial" w:eastAsia="Times New Roman" w:hAnsi="Arial" w:cs="Arial"/>
                <w:b/>
                <w:bCs/>
                <w:color w:val="000000" w:themeColor="text1"/>
                <w:sz w:val="18"/>
                <w:szCs w:val="18"/>
                <w:lang w:eastAsia="pt-BR"/>
              </w:rPr>
              <w:t>Kid score</w:t>
            </w:r>
          </w:p>
        </w:tc>
        <w:tc>
          <w:tcPr>
            <w:tcW w:w="1637" w:type="dxa"/>
            <w:tcBorders>
              <w:top w:val="single" w:sz="4" w:space="0" w:color="auto"/>
              <w:left w:val="single" w:sz="4" w:space="0" w:color="auto"/>
            </w:tcBorders>
            <w:vAlign w:val="center"/>
          </w:tcPr>
          <w:p w14:paraId="2EFEA3F4" w14:textId="543DA557" w:rsidR="00A164BD" w:rsidRPr="00D14534" w:rsidRDefault="00A164BD" w:rsidP="00A164BD">
            <w:pPr>
              <w:spacing w:after="0" w:line="240" w:lineRule="auto"/>
              <w:jc w:val="center"/>
              <w:rPr>
                <w:rFonts w:ascii="Arial" w:eastAsia="Times New Roman" w:hAnsi="Arial" w:cs="Arial"/>
                <w:color w:val="000000" w:themeColor="text1"/>
                <w:sz w:val="18"/>
                <w:szCs w:val="18"/>
                <w:lang w:eastAsia="pt-BR"/>
              </w:rPr>
            </w:pPr>
            <w:r w:rsidRPr="00D14534">
              <w:rPr>
                <w:rFonts w:ascii="Arial" w:hAnsi="Arial" w:cs="Arial"/>
                <w:color w:val="000000" w:themeColor="text1"/>
                <w:sz w:val="18"/>
                <w:szCs w:val="18"/>
              </w:rPr>
              <w:t>5.1 ± 0.09</w:t>
            </w:r>
          </w:p>
        </w:tc>
        <w:tc>
          <w:tcPr>
            <w:tcW w:w="1676" w:type="dxa"/>
            <w:tcBorders>
              <w:top w:val="single" w:sz="4" w:space="0" w:color="auto"/>
            </w:tcBorders>
            <w:vAlign w:val="center"/>
          </w:tcPr>
          <w:p w14:paraId="79E486A7" w14:textId="5BFCD0D9" w:rsidR="00A164BD" w:rsidRPr="00D14534" w:rsidRDefault="00A164BD" w:rsidP="00A164BD">
            <w:pPr>
              <w:spacing w:after="0" w:line="240" w:lineRule="auto"/>
              <w:jc w:val="center"/>
              <w:rPr>
                <w:rFonts w:ascii="Arial" w:eastAsia="Times New Roman" w:hAnsi="Arial" w:cs="Arial"/>
                <w:color w:val="000000" w:themeColor="text1"/>
                <w:sz w:val="18"/>
                <w:szCs w:val="18"/>
                <w:lang w:eastAsia="pt-BR"/>
              </w:rPr>
            </w:pPr>
            <w:r w:rsidRPr="00D14534">
              <w:rPr>
                <w:rFonts w:ascii="Arial" w:hAnsi="Arial" w:cs="Arial"/>
                <w:color w:val="000000" w:themeColor="text1"/>
                <w:sz w:val="18"/>
                <w:szCs w:val="18"/>
              </w:rPr>
              <w:t>5.60 ± 0.03</w:t>
            </w:r>
          </w:p>
        </w:tc>
        <w:tc>
          <w:tcPr>
            <w:tcW w:w="1017" w:type="dxa"/>
            <w:tcBorders>
              <w:top w:val="single" w:sz="4" w:space="0" w:color="auto"/>
              <w:right w:val="single" w:sz="4" w:space="0" w:color="auto"/>
            </w:tcBorders>
            <w:vAlign w:val="center"/>
          </w:tcPr>
          <w:p w14:paraId="4F0EABA7" w14:textId="0CE4F14C" w:rsidR="00A164BD" w:rsidRPr="00D14534" w:rsidRDefault="00A164BD" w:rsidP="00A164BD">
            <w:pPr>
              <w:spacing w:after="0" w:line="240" w:lineRule="auto"/>
              <w:jc w:val="center"/>
              <w:rPr>
                <w:rFonts w:ascii="Arial" w:eastAsia="Times New Roman" w:hAnsi="Arial" w:cs="Arial"/>
                <w:color w:val="000000" w:themeColor="text1"/>
                <w:sz w:val="18"/>
                <w:szCs w:val="18"/>
                <w:lang w:eastAsia="pt-BR"/>
              </w:rPr>
            </w:pPr>
            <w:r w:rsidRPr="00D14534">
              <w:rPr>
                <w:rFonts w:ascii="Arial" w:eastAsia="Times New Roman" w:hAnsi="Arial" w:cs="Arial"/>
                <w:color w:val="000000" w:themeColor="text1"/>
                <w:sz w:val="18"/>
                <w:szCs w:val="18"/>
                <w:lang w:eastAsia="pt-BR"/>
              </w:rPr>
              <w:t>&lt; 0.001</w:t>
            </w:r>
          </w:p>
        </w:tc>
        <w:tc>
          <w:tcPr>
            <w:tcW w:w="1177" w:type="dxa"/>
            <w:tcBorders>
              <w:top w:val="single" w:sz="4" w:space="0" w:color="auto"/>
              <w:left w:val="single" w:sz="4" w:space="0" w:color="auto"/>
            </w:tcBorders>
            <w:vAlign w:val="center"/>
          </w:tcPr>
          <w:p w14:paraId="00DC1098" w14:textId="4DCE18D0" w:rsidR="00A164BD" w:rsidRPr="00D14534" w:rsidRDefault="00A164BD" w:rsidP="00A164BD">
            <w:pPr>
              <w:spacing w:after="0" w:line="240" w:lineRule="auto"/>
              <w:jc w:val="center"/>
              <w:rPr>
                <w:rFonts w:ascii="Arial" w:eastAsia="Times New Roman" w:hAnsi="Arial" w:cs="Arial"/>
                <w:color w:val="000000" w:themeColor="text1"/>
                <w:sz w:val="18"/>
                <w:szCs w:val="18"/>
                <w:lang w:eastAsia="pt-BR"/>
              </w:rPr>
            </w:pPr>
            <w:r w:rsidRPr="00D14534">
              <w:rPr>
                <w:rFonts w:ascii="Arial" w:eastAsia="Times New Roman" w:hAnsi="Arial" w:cs="Arial"/>
                <w:color w:val="000000" w:themeColor="text1"/>
                <w:sz w:val="18"/>
                <w:szCs w:val="18"/>
                <w:lang w:eastAsia="pt-BR"/>
              </w:rPr>
              <w:t>5.4 ± 0.5</w:t>
            </w:r>
            <w:r w:rsidRPr="00D14534">
              <w:rPr>
                <w:rFonts w:ascii="Arial" w:eastAsia="Times New Roman" w:hAnsi="Arial" w:cs="Arial"/>
                <w:color w:val="000000" w:themeColor="text1"/>
                <w:sz w:val="18"/>
                <w:szCs w:val="18"/>
                <w:vertAlign w:val="superscript"/>
                <w:lang w:eastAsia="pt-BR"/>
              </w:rPr>
              <w:t>a</w:t>
            </w:r>
          </w:p>
        </w:tc>
        <w:tc>
          <w:tcPr>
            <w:tcW w:w="1471" w:type="dxa"/>
            <w:tcBorders>
              <w:top w:val="single" w:sz="4" w:space="0" w:color="auto"/>
            </w:tcBorders>
            <w:vAlign w:val="center"/>
          </w:tcPr>
          <w:p w14:paraId="1575526A" w14:textId="769ACD5C" w:rsidR="00A164BD" w:rsidRPr="00D14534" w:rsidRDefault="00A164BD" w:rsidP="00A164BD">
            <w:pPr>
              <w:spacing w:after="0" w:line="240" w:lineRule="auto"/>
              <w:jc w:val="center"/>
              <w:rPr>
                <w:rFonts w:ascii="Arial" w:eastAsia="Times New Roman" w:hAnsi="Arial" w:cs="Arial"/>
                <w:color w:val="000000" w:themeColor="text1"/>
                <w:sz w:val="18"/>
                <w:szCs w:val="18"/>
                <w:lang w:eastAsia="pt-BR"/>
              </w:rPr>
            </w:pPr>
            <w:r w:rsidRPr="00D14534">
              <w:rPr>
                <w:rFonts w:ascii="Arial" w:eastAsia="Times New Roman" w:hAnsi="Arial" w:cs="Arial"/>
                <w:color w:val="000000" w:themeColor="text1"/>
                <w:sz w:val="18"/>
                <w:szCs w:val="18"/>
                <w:lang w:eastAsia="pt-BR"/>
              </w:rPr>
              <w:t>5.5 ± 0.5</w:t>
            </w:r>
            <w:r w:rsidRPr="00D14534">
              <w:rPr>
                <w:rFonts w:ascii="Arial" w:eastAsia="Times New Roman" w:hAnsi="Arial" w:cs="Arial"/>
                <w:color w:val="000000" w:themeColor="text1"/>
                <w:sz w:val="18"/>
                <w:szCs w:val="18"/>
                <w:vertAlign w:val="superscript"/>
                <w:lang w:eastAsia="pt-BR"/>
              </w:rPr>
              <w:t xml:space="preserve"> </w:t>
            </w:r>
            <w:proofErr w:type="spellStart"/>
            <w:proofErr w:type="gramStart"/>
            <w:r w:rsidRPr="00D14534">
              <w:rPr>
                <w:rFonts w:ascii="Arial" w:eastAsia="Times New Roman" w:hAnsi="Arial" w:cs="Arial"/>
                <w:color w:val="000000" w:themeColor="text1"/>
                <w:sz w:val="18"/>
                <w:szCs w:val="18"/>
                <w:vertAlign w:val="superscript"/>
                <w:lang w:eastAsia="pt-BR"/>
              </w:rPr>
              <w:t>a,b</w:t>
            </w:r>
            <w:proofErr w:type="spellEnd"/>
            <w:proofErr w:type="gramEnd"/>
          </w:p>
        </w:tc>
        <w:tc>
          <w:tcPr>
            <w:tcW w:w="1207" w:type="dxa"/>
            <w:tcBorders>
              <w:top w:val="single" w:sz="4" w:space="0" w:color="auto"/>
            </w:tcBorders>
            <w:vAlign w:val="center"/>
          </w:tcPr>
          <w:p w14:paraId="5A3442DF" w14:textId="2BC52E8C" w:rsidR="00A164BD" w:rsidRPr="00D14534" w:rsidRDefault="00A164BD" w:rsidP="00A164BD">
            <w:pPr>
              <w:spacing w:after="0" w:line="240" w:lineRule="auto"/>
              <w:jc w:val="center"/>
              <w:rPr>
                <w:rFonts w:ascii="Arial" w:eastAsia="Times New Roman" w:hAnsi="Arial" w:cs="Arial"/>
                <w:color w:val="000000" w:themeColor="text1"/>
                <w:sz w:val="18"/>
                <w:szCs w:val="18"/>
                <w:lang w:eastAsia="pt-BR"/>
              </w:rPr>
            </w:pPr>
            <w:r w:rsidRPr="00D14534">
              <w:rPr>
                <w:rFonts w:ascii="Arial" w:eastAsia="Times New Roman" w:hAnsi="Arial" w:cs="Arial"/>
                <w:color w:val="000000" w:themeColor="text1"/>
                <w:sz w:val="18"/>
                <w:szCs w:val="18"/>
                <w:lang w:eastAsia="pt-BR"/>
              </w:rPr>
              <w:t>5.6 ± 0.6</w:t>
            </w:r>
            <w:r w:rsidRPr="00D14534">
              <w:rPr>
                <w:rFonts w:ascii="Arial" w:eastAsia="Times New Roman" w:hAnsi="Arial" w:cs="Arial"/>
                <w:color w:val="000000" w:themeColor="text1"/>
                <w:sz w:val="18"/>
                <w:szCs w:val="18"/>
                <w:vertAlign w:val="superscript"/>
                <w:lang w:eastAsia="pt-BR"/>
              </w:rPr>
              <w:t xml:space="preserve"> b</w:t>
            </w:r>
          </w:p>
        </w:tc>
        <w:tc>
          <w:tcPr>
            <w:tcW w:w="1017" w:type="dxa"/>
            <w:tcBorders>
              <w:top w:val="single" w:sz="4" w:space="0" w:color="auto"/>
              <w:right w:val="single" w:sz="4" w:space="0" w:color="auto"/>
            </w:tcBorders>
            <w:vAlign w:val="center"/>
          </w:tcPr>
          <w:p w14:paraId="21F64213" w14:textId="46976888" w:rsidR="00A164BD" w:rsidRPr="00D14534" w:rsidRDefault="00A164BD" w:rsidP="00A164BD">
            <w:pPr>
              <w:spacing w:after="0" w:line="240" w:lineRule="auto"/>
              <w:jc w:val="center"/>
              <w:rPr>
                <w:rFonts w:ascii="Arial" w:eastAsia="Times New Roman" w:hAnsi="Arial" w:cs="Arial"/>
                <w:color w:val="000000" w:themeColor="text1"/>
                <w:sz w:val="18"/>
                <w:szCs w:val="18"/>
                <w:lang w:eastAsia="pt-BR"/>
              </w:rPr>
            </w:pPr>
            <w:r w:rsidRPr="00D14534">
              <w:rPr>
                <w:rFonts w:ascii="Arial" w:eastAsia="Times New Roman" w:hAnsi="Arial" w:cs="Arial"/>
                <w:color w:val="000000" w:themeColor="text1"/>
                <w:sz w:val="18"/>
                <w:szCs w:val="18"/>
                <w:lang w:eastAsia="pt-BR"/>
              </w:rPr>
              <w:t>0.021</w:t>
            </w:r>
          </w:p>
        </w:tc>
      </w:tr>
      <w:tr w:rsidR="00A164BD" w:rsidRPr="00D14534" w14:paraId="55938C29" w14:textId="77777777" w:rsidTr="00AE590C">
        <w:trPr>
          <w:trHeight w:val="340"/>
          <w:jc w:val="center"/>
        </w:trPr>
        <w:tc>
          <w:tcPr>
            <w:tcW w:w="1972" w:type="dxa"/>
            <w:tcBorders>
              <w:left w:val="single" w:sz="4" w:space="0" w:color="auto"/>
              <w:right w:val="single" w:sz="4" w:space="0" w:color="auto"/>
            </w:tcBorders>
            <w:shd w:val="clear" w:color="auto" w:fill="auto"/>
            <w:vAlign w:val="center"/>
          </w:tcPr>
          <w:p w14:paraId="15414F0F" w14:textId="48455802" w:rsidR="00A164BD" w:rsidRPr="00D14534" w:rsidRDefault="00A164BD" w:rsidP="00A164BD">
            <w:pPr>
              <w:spacing w:after="0" w:line="240" w:lineRule="auto"/>
              <w:jc w:val="center"/>
              <w:rPr>
                <w:rFonts w:ascii="Arial" w:eastAsia="Times New Roman" w:hAnsi="Arial" w:cs="Arial"/>
                <w:b/>
                <w:bCs/>
                <w:color w:val="000000" w:themeColor="text1"/>
                <w:sz w:val="18"/>
                <w:szCs w:val="18"/>
                <w:lang w:eastAsia="pt-BR"/>
              </w:rPr>
            </w:pPr>
            <w:proofErr w:type="spellStart"/>
            <w:r w:rsidRPr="00D14534">
              <w:rPr>
                <w:rFonts w:ascii="Arial" w:eastAsia="Times New Roman" w:hAnsi="Arial" w:cs="Arial"/>
                <w:b/>
                <w:bCs/>
                <w:color w:val="000000" w:themeColor="text1"/>
                <w:sz w:val="18"/>
                <w:szCs w:val="18"/>
                <w:lang w:eastAsia="pt-BR"/>
              </w:rPr>
              <w:t>Blastocyst</w:t>
            </w:r>
            <w:proofErr w:type="spellEnd"/>
            <w:r w:rsidRPr="00D14534">
              <w:rPr>
                <w:rFonts w:ascii="Arial" w:eastAsia="Times New Roman" w:hAnsi="Arial" w:cs="Arial"/>
                <w:b/>
                <w:bCs/>
                <w:color w:val="000000" w:themeColor="text1"/>
                <w:sz w:val="18"/>
                <w:szCs w:val="18"/>
                <w:lang w:eastAsia="pt-BR"/>
              </w:rPr>
              <w:t xml:space="preserve"> rate (%)</w:t>
            </w:r>
          </w:p>
        </w:tc>
        <w:tc>
          <w:tcPr>
            <w:tcW w:w="1637" w:type="dxa"/>
            <w:tcBorders>
              <w:left w:val="single" w:sz="4" w:space="0" w:color="auto"/>
            </w:tcBorders>
            <w:vAlign w:val="center"/>
          </w:tcPr>
          <w:p w14:paraId="05829D76" w14:textId="76BFCF1B" w:rsidR="00A164BD" w:rsidRPr="00D14534" w:rsidRDefault="00A164BD" w:rsidP="00A164BD">
            <w:pPr>
              <w:autoSpaceDE w:val="0"/>
              <w:autoSpaceDN w:val="0"/>
              <w:adjustRightInd w:val="0"/>
              <w:spacing w:after="0" w:line="240" w:lineRule="auto"/>
              <w:jc w:val="center"/>
              <w:rPr>
                <w:rFonts w:ascii="Arial" w:eastAsia="Times New Roman" w:hAnsi="Arial" w:cs="Arial"/>
                <w:color w:val="000000" w:themeColor="text1"/>
                <w:sz w:val="18"/>
                <w:szCs w:val="18"/>
                <w:lang w:eastAsia="pt-BR"/>
              </w:rPr>
            </w:pPr>
            <w:r w:rsidRPr="00D14534">
              <w:rPr>
                <w:rFonts w:ascii="Arial" w:hAnsi="Arial" w:cs="Arial"/>
                <w:bCs/>
                <w:color w:val="000000" w:themeColor="text1"/>
                <w:sz w:val="18"/>
                <w:szCs w:val="18"/>
                <w:shd w:val="clear" w:color="auto" w:fill="FFFFFF"/>
              </w:rPr>
              <w:t xml:space="preserve">53.6 </w:t>
            </w:r>
            <w:r w:rsidRPr="00D14534">
              <w:rPr>
                <w:rFonts w:ascii="Arial" w:hAnsi="Arial" w:cs="Arial"/>
                <w:bCs/>
                <w:color w:val="000000" w:themeColor="text1"/>
                <w:sz w:val="18"/>
                <w:szCs w:val="18"/>
              </w:rPr>
              <w:t>± 0.92</w:t>
            </w:r>
          </w:p>
        </w:tc>
        <w:tc>
          <w:tcPr>
            <w:tcW w:w="1676" w:type="dxa"/>
            <w:vAlign w:val="center"/>
          </w:tcPr>
          <w:p w14:paraId="7EDF7561" w14:textId="37793FD6" w:rsidR="00A164BD" w:rsidRPr="00D14534" w:rsidRDefault="00A164BD" w:rsidP="00A164BD">
            <w:pPr>
              <w:spacing w:after="0" w:line="240" w:lineRule="auto"/>
              <w:jc w:val="center"/>
              <w:rPr>
                <w:rFonts w:ascii="Arial" w:eastAsia="Times New Roman" w:hAnsi="Arial" w:cs="Arial"/>
                <w:color w:val="000000" w:themeColor="text1"/>
                <w:sz w:val="18"/>
                <w:szCs w:val="18"/>
                <w:lang w:eastAsia="pt-BR"/>
              </w:rPr>
            </w:pPr>
            <w:r w:rsidRPr="00D14534">
              <w:rPr>
                <w:rFonts w:ascii="Arial" w:hAnsi="Arial" w:cs="Arial"/>
                <w:bCs/>
                <w:color w:val="000000" w:themeColor="text1"/>
                <w:sz w:val="18"/>
                <w:szCs w:val="18"/>
              </w:rPr>
              <w:t>44.85 ± 1.87</w:t>
            </w:r>
          </w:p>
        </w:tc>
        <w:tc>
          <w:tcPr>
            <w:tcW w:w="1017" w:type="dxa"/>
            <w:tcBorders>
              <w:right w:val="single" w:sz="4" w:space="0" w:color="auto"/>
            </w:tcBorders>
            <w:vAlign w:val="center"/>
          </w:tcPr>
          <w:p w14:paraId="5DA70F4F" w14:textId="4192C67D" w:rsidR="00A164BD" w:rsidRPr="00D14534" w:rsidRDefault="00A164BD" w:rsidP="00A164BD">
            <w:pPr>
              <w:spacing w:after="0" w:line="240" w:lineRule="auto"/>
              <w:jc w:val="center"/>
              <w:rPr>
                <w:rFonts w:ascii="Arial" w:hAnsi="Arial" w:cs="Arial"/>
                <w:color w:val="000000" w:themeColor="text1"/>
                <w:sz w:val="18"/>
                <w:szCs w:val="18"/>
              </w:rPr>
            </w:pPr>
            <w:r w:rsidRPr="00D14534">
              <w:rPr>
                <w:rFonts w:ascii="Arial" w:hAnsi="Arial" w:cs="Arial"/>
                <w:color w:val="000000" w:themeColor="text1"/>
                <w:sz w:val="18"/>
                <w:szCs w:val="18"/>
              </w:rPr>
              <w:t>&lt; 0.001</w:t>
            </w:r>
          </w:p>
        </w:tc>
        <w:tc>
          <w:tcPr>
            <w:tcW w:w="1177" w:type="dxa"/>
            <w:tcBorders>
              <w:left w:val="single" w:sz="4" w:space="0" w:color="auto"/>
            </w:tcBorders>
            <w:vAlign w:val="center"/>
          </w:tcPr>
          <w:p w14:paraId="6D033A50" w14:textId="399201AC" w:rsidR="00A164BD" w:rsidRPr="00D14534" w:rsidRDefault="00A164BD" w:rsidP="00A164BD">
            <w:pPr>
              <w:spacing w:after="0" w:line="240" w:lineRule="auto"/>
              <w:jc w:val="center"/>
              <w:rPr>
                <w:rFonts w:ascii="Arial" w:hAnsi="Arial" w:cs="Arial"/>
                <w:color w:val="000000" w:themeColor="text1"/>
                <w:sz w:val="18"/>
                <w:szCs w:val="18"/>
              </w:rPr>
            </w:pPr>
            <w:r w:rsidRPr="00D14534">
              <w:rPr>
                <w:rFonts w:ascii="Arial" w:hAnsi="Arial" w:cs="Arial"/>
                <w:color w:val="000000" w:themeColor="text1"/>
                <w:sz w:val="18"/>
                <w:szCs w:val="18"/>
                <w:shd w:val="clear" w:color="auto" w:fill="FFFFFF"/>
              </w:rPr>
              <w:t xml:space="preserve">49.2 </w:t>
            </w:r>
            <w:r w:rsidRPr="00D14534">
              <w:rPr>
                <w:rFonts w:ascii="Arial" w:hAnsi="Arial" w:cs="Arial"/>
                <w:color w:val="000000" w:themeColor="text1"/>
                <w:sz w:val="18"/>
                <w:szCs w:val="18"/>
              </w:rPr>
              <w:t>± 1.4</w:t>
            </w:r>
            <w:r w:rsidRPr="00D14534">
              <w:rPr>
                <w:rFonts w:ascii="Arial" w:hAnsi="Arial" w:cs="Arial"/>
                <w:color w:val="000000" w:themeColor="text1"/>
                <w:sz w:val="18"/>
                <w:szCs w:val="18"/>
                <w:vertAlign w:val="superscript"/>
              </w:rPr>
              <w:t>a</w:t>
            </w:r>
          </w:p>
        </w:tc>
        <w:tc>
          <w:tcPr>
            <w:tcW w:w="1471" w:type="dxa"/>
            <w:vAlign w:val="center"/>
          </w:tcPr>
          <w:p w14:paraId="2FE10F7E" w14:textId="3156FC47" w:rsidR="00A164BD" w:rsidRPr="00D14534" w:rsidRDefault="00A164BD" w:rsidP="00A164BD">
            <w:pPr>
              <w:spacing w:after="0" w:line="240" w:lineRule="auto"/>
              <w:jc w:val="center"/>
              <w:rPr>
                <w:rFonts w:ascii="Arial" w:hAnsi="Arial" w:cs="Arial"/>
                <w:color w:val="000000" w:themeColor="text1"/>
                <w:sz w:val="18"/>
                <w:szCs w:val="18"/>
              </w:rPr>
            </w:pPr>
            <w:r w:rsidRPr="00D14534">
              <w:rPr>
                <w:rFonts w:ascii="Arial" w:hAnsi="Arial" w:cs="Arial"/>
                <w:color w:val="000000" w:themeColor="text1"/>
                <w:sz w:val="18"/>
                <w:szCs w:val="18"/>
                <w:shd w:val="clear" w:color="auto" w:fill="FFFFFF"/>
              </w:rPr>
              <w:t xml:space="preserve">50.8 </w:t>
            </w:r>
            <w:r w:rsidRPr="00D14534">
              <w:rPr>
                <w:rFonts w:ascii="Arial" w:hAnsi="Arial" w:cs="Arial"/>
                <w:color w:val="000000" w:themeColor="text1"/>
                <w:sz w:val="18"/>
                <w:szCs w:val="18"/>
              </w:rPr>
              <w:t>± 1.4</w:t>
            </w:r>
            <w:r w:rsidRPr="00D14534">
              <w:rPr>
                <w:rFonts w:ascii="Arial" w:hAnsi="Arial" w:cs="Arial"/>
                <w:color w:val="000000" w:themeColor="text1"/>
                <w:sz w:val="18"/>
                <w:szCs w:val="18"/>
                <w:vertAlign w:val="superscript"/>
              </w:rPr>
              <w:t>a</w:t>
            </w:r>
          </w:p>
        </w:tc>
        <w:tc>
          <w:tcPr>
            <w:tcW w:w="1207" w:type="dxa"/>
            <w:vAlign w:val="center"/>
          </w:tcPr>
          <w:p w14:paraId="1863BAAE" w14:textId="7118ECA2" w:rsidR="00A164BD" w:rsidRPr="00D14534" w:rsidRDefault="00A164BD" w:rsidP="00A164BD">
            <w:pPr>
              <w:spacing w:after="0" w:line="240" w:lineRule="auto"/>
              <w:jc w:val="center"/>
              <w:rPr>
                <w:rFonts w:ascii="Arial" w:hAnsi="Arial" w:cs="Arial"/>
                <w:color w:val="000000" w:themeColor="text1"/>
                <w:sz w:val="18"/>
                <w:szCs w:val="18"/>
              </w:rPr>
            </w:pPr>
            <w:r w:rsidRPr="00D14534">
              <w:rPr>
                <w:rFonts w:ascii="Arial" w:hAnsi="Arial" w:cs="Arial"/>
                <w:color w:val="000000" w:themeColor="text1"/>
                <w:sz w:val="18"/>
                <w:szCs w:val="18"/>
              </w:rPr>
              <w:t>55.5 ± 1.4</w:t>
            </w:r>
            <w:r w:rsidRPr="00D14534">
              <w:rPr>
                <w:rFonts w:ascii="Arial" w:hAnsi="Arial" w:cs="Arial"/>
                <w:color w:val="000000" w:themeColor="text1"/>
                <w:sz w:val="18"/>
                <w:szCs w:val="18"/>
                <w:vertAlign w:val="superscript"/>
              </w:rPr>
              <w:t>b</w:t>
            </w:r>
          </w:p>
        </w:tc>
        <w:tc>
          <w:tcPr>
            <w:tcW w:w="1017" w:type="dxa"/>
            <w:tcBorders>
              <w:right w:val="single" w:sz="4" w:space="0" w:color="auto"/>
            </w:tcBorders>
            <w:vAlign w:val="center"/>
          </w:tcPr>
          <w:p w14:paraId="44FD6C51" w14:textId="643AEF92" w:rsidR="00A164BD" w:rsidRPr="00D14534" w:rsidRDefault="00A164BD" w:rsidP="00A164BD">
            <w:pPr>
              <w:spacing w:after="0" w:line="240" w:lineRule="auto"/>
              <w:jc w:val="center"/>
              <w:rPr>
                <w:rFonts w:ascii="Arial" w:hAnsi="Arial" w:cs="Arial"/>
                <w:color w:val="000000" w:themeColor="text1"/>
                <w:sz w:val="18"/>
                <w:szCs w:val="18"/>
              </w:rPr>
            </w:pPr>
            <w:r w:rsidRPr="00D14534">
              <w:rPr>
                <w:rFonts w:ascii="Arial" w:hAnsi="Arial" w:cs="Arial"/>
                <w:color w:val="000000" w:themeColor="text1"/>
                <w:sz w:val="18"/>
                <w:szCs w:val="18"/>
              </w:rPr>
              <w:t>&lt; 0.001</w:t>
            </w:r>
          </w:p>
        </w:tc>
      </w:tr>
      <w:tr w:rsidR="00A164BD" w:rsidRPr="00D14534" w14:paraId="0F6738B2" w14:textId="77777777" w:rsidTr="00AE590C">
        <w:trPr>
          <w:trHeight w:val="340"/>
          <w:jc w:val="center"/>
        </w:trPr>
        <w:tc>
          <w:tcPr>
            <w:tcW w:w="1972" w:type="dxa"/>
            <w:tcBorders>
              <w:left w:val="single" w:sz="4" w:space="0" w:color="auto"/>
              <w:right w:val="single" w:sz="4" w:space="0" w:color="auto"/>
            </w:tcBorders>
            <w:shd w:val="clear" w:color="auto" w:fill="auto"/>
            <w:vAlign w:val="center"/>
          </w:tcPr>
          <w:p w14:paraId="1874F111" w14:textId="274E14FA" w:rsidR="00A164BD" w:rsidRPr="00D14534" w:rsidRDefault="00A164BD" w:rsidP="00A164BD">
            <w:pPr>
              <w:spacing w:after="0" w:line="240" w:lineRule="auto"/>
              <w:jc w:val="center"/>
              <w:rPr>
                <w:rFonts w:ascii="Arial" w:eastAsia="Times New Roman" w:hAnsi="Arial" w:cs="Arial"/>
                <w:b/>
                <w:bCs/>
                <w:color w:val="000000" w:themeColor="text1"/>
                <w:sz w:val="18"/>
                <w:szCs w:val="18"/>
                <w:lang w:eastAsia="pt-BR"/>
              </w:rPr>
            </w:pPr>
            <w:proofErr w:type="spellStart"/>
            <w:r w:rsidRPr="00D14534">
              <w:rPr>
                <w:rFonts w:ascii="Arial" w:eastAsia="Times New Roman" w:hAnsi="Arial" w:cs="Arial"/>
                <w:b/>
                <w:bCs/>
                <w:color w:val="000000" w:themeColor="text1"/>
                <w:sz w:val="18"/>
                <w:szCs w:val="18"/>
                <w:lang w:eastAsia="pt-BR"/>
              </w:rPr>
              <w:t>Implantation</w:t>
            </w:r>
            <w:proofErr w:type="spellEnd"/>
            <w:r w:rsidRPr="00D14534">
              <w:rPr>
                <w:rFonts w:ascii="Arial" w:eastAsia="Times New Roman" w:hAnsi="Arial" w:cs="Arial"/>
                <w:b/>
                <w:bCs/>
                <w:color w:val="000000" w:themeColor="text1"/>
                <w:sz w:val="18"/>
                <w:szCs w:val="18"/>
                <w:lang w:eastAsia="pt-BR"/>
              </w:rPr>
              <w:t xml:space="preserve"> rate (%)</w:t>
            </w:r>
          </w:p>
        </w:tc>
        <w:tc>
          <w:tcPr>
            <w:tcW w:w="1637" w:type="dxa"/>
            <w:tcBorders>
              <w:left w:val="single" w:sz="4" w:space="0" w:color="auto"/>
            </w:tcBorders>
            <w:vAlign w:val="center"/>
          </w:tcPr>
          <w:p w14:paraId="5950E06E" w14:textId="36D589C5" w:rsidR="00A164BD" w:rsidRPr="00D14534" w:rsidRDefault="00A164BD" w:rsidP="00A164BD">
            <w:pPr>
              <w:autoSpaceDE w:val="0"/>
              <w:autoSpaceDN w:val="0"/>
              <w:adjustRightInd w:val="0"/>
              <w:spacing w:after="0" w:line="240" w:lineRule="auto"/>
              <w:jc w:val="center"/>
              <w:rPr>
                <w:rFonts w:ascii="Arial" w:eastAsia="Times New Roman" w:hAnsi="Arial" w:cs="Arial"/>
                <w:color w:val="000000" w:themeColor="text1"/>
                <w:sz w:val="18"/>
                <w:szCs w:val="18"/>
                <w:lang w:eastAsia="pt-BR"/>
              </w:rPr>
            </w:pPr>
            <w:r w:rsidRPr="00D14534">
              <w:rPr>
                <w:rFonts w:ascii="Arial" w:hAnsi="Arial" w:cs="Arial"/>
                <w:color w:val="000000" w:themeColor="text1"/>
                <w:sz w:val="18"/>
                <w:szCs w:val="18"/>
              </w:rPr>
              <w:t>24.8 ± 0.32</w:t>
            </w:r>
          </w:p>
        </w:tc>
        <w:tc>
          <w:tcPr>
            <w:tcW w:w="1676" w:type="dxa"/>
            <w:vAlign w:val="center"/>
          </w:tcPr>
          <w:p w14:paraId="0EBED233" w14:textId="391314AC" w:rsidR="00A164BD" w:rsidRPr="00D14534" w:rsidRDefault="00A164BD" w:rsidP="00A164BD">
            <w:pPr>
              <w:spacing w:after="0" w:line="240" w:lineRule="auto"/>
              <w:jc w:val="center"/>
              <w:rPr>
                <w:rFonts w:ascii="Arial" w:eastAsia="Times New Roman" w:hAnsi="Arial" w:cs="Arial"/>
                <w:color w:val="000000" w:themeColor="text1"/>
                <w:sz w:val="18"/>
                <w:szCs w:val="18"/>
                <w:lang w:eastAsia="pt-BR"/>
              </w:rPr>
            </w:pPr>
            <w:r w:rsidRPr="00D14534">
              <w:rPr>
                <w:rFonts w:ascii="Arial" w:hAnsi="Arial" w:cs="Arial"/>
                <w:color w:val="000000" w:themeColor="text1"/>
                <w:sz w:val="18"/>
                <w:szCs w:val="18"/>
              </w:rPr>
              <w:t>26.08 ± 0.53</w:t>
            </w:r>
          </w:p>
        </w:tc>
        <w:tc>
          <w:tcPr>
            <w:tcW w:w="1017" w:type="dxa"/>
            <w:tcBorders>
              <w:right w:val="single" w:sz="4" w:space="0" w:color="auto"/>
            </w:tcBorders>
            <w:vAlign w:val="center"/>
          </w:tcPr>
          <w:p w14:paraId="4992BA21" w14:textId="2C0CD69D" w:rsidR="00A164BD" w:rsidRPr="00D14534" w:rsidRDefault="00A164BD" w:rsidP="00A164BD">
            <w:pPr>
              <w:spacing w:after="0" w:line="240" w:lineRule="auto"/>
              <w:jc w:val="center"/>
              <w:rPr>
                <w:rFonts w:ascii="Arial" w:eastAsia="Times New Roman" w:hAnsi="Arial" w:cs="Arial"/>
                <w:color w:val="000000" w:themeColor="text1"/>
                <w:sz w:val="18"/>
                <w:szCs w:val="18"/>
                <w:lang w:eastAsia="pt-BR"/>
              </w:rPr>
            </w:pPr>
            <w:r w:rsidRPr="00D14534">
              <w:rPr>
                <w:rFonts w:ascii="Arial" w:hAnsi="Arial" w:cs="Arial"/>
                <w:color w:val="000000" w:themeColor="text1"/>
                <w:sz w:val="18"/>
                <w:szCs w:val="18"/>
              </w:rPr>
              <w:t>0.037</w:t>
            </w:r>
          </w:p>
        </w:tc>
        <w:tc>
          <w:tcPr>
            <w:tcW w:w="1177" w:type="dxa"/>
            <w:tcBorders>
              <w:left w:val="single" w:sz="4" w:space="0" w:color="auto"/>
            </w:tcBorders>
            <w:vAlign w:val="center"/>
          </w:tcPr>
          <w:p w14:paraId="1CFB6865" w14:textId="4405A375" w:rsidR="00A164BD" w:rsidRPr="00D14534" w:rsidRDefault="00A164BD" w:rsidP="00A164BD">
            <w:pPr>
              <w:spacing w:after="0" w:line="240" w:lineRule="auto"/>
              <w:jc w:val="center"/>
              <w:rPr>
                <w:rFonts w:ascii="Arial" w:eastAsia="Times New Roman" w:hAnsi="Arial" w:cs="Arial"/>
                <w:color w:val="000000" w:themeColor="text1"/>
                <w:sz w:val="18"/>
                <w:szCs w:val="18"/>
                <w:lang w:eastAsia="pt-BR"/>
              </w:rPr>
            </w:pPr>
            <w:r w:rsidRPr="00D14534">
              <w:rPr>
                <w:rFonts w:ascii="Arial" w:hAnsi="Arial" w:cs="Arial"/>
                <w:color w:val="000000" w:themeColor="text1"/>
                <w:sz w:val="18"/>
                <w:szCs w:val="18"/>
              </w:rPr>
              <w:t>23.6 ± 0.4</w:t>
            </w:r>
            <w:r w:rsidRPr="00D14534">
              <w:rPr>
                <w:rFonts w:ascii="Arial" w:hAnsi="Arial" w:cs="Arial"/>
                <w:color w:val="000000" w:themeColor="text1"/>
                <w:sz w:val="18"/>
                <w:szCs w:val="18"/>
                <w:vertAlign w:val="superscript"/>
              </w:rPr>
              <w:t>a</w:t>
            </w:r>
          </w:p>
        </w:tc>
        <w:tc>
          <w:tcPr>
            <w:tcW w:w="1471" w:type="dxa"/>
            <w:vAlign w:val="center"/>
          </w:tcPr>
          <w:p w14:paraId="73E0AD73" w14:textId="275C9D2B" w:rsidR="00A164BD" w:rsidRPr="00D14534" w:rsidRDefault="00A164BD" w:rsidP="00A164BD">
            <w:pPr>
              <w:spacing w:after="0" w:line="240" w:lineRule="auto"/>
              <w:jc w:val="center"/>
              <w:rPr>
                <w:rFonts w:ascii="Arial" w:eastAsia="Times New Roman" w:hAnsi="Arial" w:cs="Arial"/>
                <w:color w:val="000000" w:themeColor="text1"/>
                <w:sz w:val="18"/>
                <w:szCs w:val="18"/>
                <w:lang w:eastAsia="pt-BR"/>
              </w:rPr>
            </w:pPr>
            <w:r w:rsidRPr="00D14534">
              <w:rPr>
                <w:rFonts w:ascii="Arial" w:hAnsi="Arial" w:cs="Arial"/>
                <w:color w:val="000000" w:themeColor="text1"/>
                <w:sz w:val="18"/>
                <w:szCs w:val="18"/>
              </w:rPr>
              <w:t>24.5 ± 0.4a</w:t>
            </w:r>
          </w:p>
        </w:tc>
        <w:tc>
          <w:tcPr>
            <w:tcW w:w="1207" w:type="dxa"/>
            <w:vAlign w:val="center"/>
          </w:tcPr>
          <w:p w14:paraId="5F27DD7B" w14:textId="2706300C" w:rsidR="00A164BD" w:rsidRPr="00D14534" w:rsidRDefault="00A164BD" w:rsidP="00A164BD">
            <w:pPr>
              <w:spacing w:after="0" w:line="240" w:lineRule="auto"/>
              <w:jc w:val="center"/>
              <w:rPr>
                <w:rFonts w:ascii="Arial" w:eastAsia="Times New Roman" w:hAnsi="Arial" w:cs="Arial"/>
                <w:color w:val="000000" w:themeColor="text1"/>
                <w:sz w:val="18"/>
                <w:szCs w:val="18"/>
                <w:lang w:eastAsia="pt-BR"/>
              </w:rPr>
            </w:pPr>
            <w:r w:rsidRPr="00D14534">
              <w:rPr>
                <w:rFonts w:ascii="Arial" w:hAnsi="Arial" w:cs="Arial"/>
                <w:color w:val="000000" w:themeColor="text1"/>
                <w:sz w:val="18"/>
                <w:szCs w:val="18"/>
              </w:rPr>
              <w:t>27.1 ± 0.5b</w:t>
            </w:r>
          </w:p>
        </w:tc>
        <w:tc>
          <w:tcPr>
            <w:tcW w:w="1017" w:type="dxa"/>
            <w:tcBorders>
              <w:right w:val="single" w:sz="4" w:space="0" w:color="auto"/>
            </w:tcBorders>
            <w:vAlign w:val="center"/>
          </w:tcPr>
          <w:p w14:paraId="1768938C" w14:textId="336E0364" w:rsidR="00A164BD" w:rsidRPr="00D14534" w:rsidRDefault="00A164BD" w:rsidP="00A164BD">
            <w:pPr>
              <w:spacing w:after="0" w:line="240" w:lineRule="auto"/>
              <w:jc w:val="center"/>
              <w:rPr>
                <w:rFonts w:ascii="Arial" w:eastAsia="Times New Roman" w:hAnsi="Arial" w:cs="Arial"/>
                <w:color w:val="000000" w:themeColor="text1"/>
                <w:sz w:val="18"/>
                <w:szCs w:val="18"/>
                <w:lang w:eastAsia="pt-BR"/>
              </w:rPr>
            </w:pPr>
            <w:r w:rsidRPr="00D14534">
              <w:rPr>
                <w:rFonts w:ascii="Arial" w:hAnsi="Arial" w:cs="Arial"/>
                <w:color w:val="000000" w:themeColor="text1"/>
                <w:sz w:val="18"/>
                <w:szCs w:val="18"/>
              </w:rPr>
              <w:t>&lt; 0.001</w:t>
            </w:r>
          </w:p>
        </w:tc>
      </w:tr>
    </w:tbl>
    <w:p w14:paraId="7CBD777B" w14:textId="36B553A9" w:rsidR="00685C63" w:rsidRPr="00685C63" w:rsidRDefault="00685C63" w:rsidP="008A67DD">
      <w:pPr>
        <w:autoSpaceDE w:val="0"/>
        <w:autoSpaceDN w:val="0"/>
        <w:adjustRightInd w:val="0"/>
        <w:spacing w:after="0" w:line="240" w:lineRule="auto"/>
        <w:ind w:right="1669"/>
        <w:rPr>
          <w:rFonts w:ascii="Arial" w:hAnsi="Arial" w:cs="Arial"/>
          <w:color w:val="000000" w:themeColor="text1"/>
          <w:sz w:val="20"/>
          <w:szCs w:val="20"/>
          <w:vertAlign w:val="superscript"/>
          <w:lang w:val="en-US"/>
        </w:rPr>
      </w:pPr>
      <w:r w:rsidRPr="00420FE2">
        <w:rPr>
          <w:rFonts w:ascii="Arial" w:hAnsi="Arial" w:cs="Arial"/>
          <w:color w:val="000000" w:themeColor="text1"/>
          <w:sz w:val="20"/>
          <w:szCs w:val="20"/>
          <w:vertAlign w:val="superscript"/>
          <w:lang w:val="en-US"/>
        </w:rPr>
        <w:t xml:space="preserve">Values are percentage ± standard error, unless otherwise noted. </w:t>
      </w:r>
      <w:r w:rsidRPr="00420FE2">
        <w:rPr>
          <w:rFonts w:ascii="Arial" w:hAnsi="Arial" w:cs="Arial"/>
          <w:color w:val="000000" w:themeColor="text1"/>
          <w:sz w:val="18"/>
          <w:szCs w:val="18"/>
          <w:vertAlign w:val="superscript"/>
          <w:lang w:val="en-US"/>
        </w:rPr>
        <w:t>a ≠ b ≠ c.</w:t>
      </w:r>
      <w:r w:rsidRPr="00685C63">
        <w:rPr>
          <w:rFonts w:ascii="Arial" w:hAnsi="Arial" w:cs="Arial"/>
          <w:color w:val="000000" w:themeColor="text1"/>
          <w:sz w:val="18"/>
          <w:szCs w:val="18"/>
          <w:vertAlign w:val="superscript"/>
          <w:lang w:val="en-US"/>
        </w:rPr>
        <w:t xml:space="preserve"> </w:t>
      </w:r>
      <w:r w:rsidRPr="00685C63">
        <w:rPr>
          <w:rFonts w:ascii="Arial" w:hAnsi="Arial" w:cs="Arial"/>
          <w:color w:val="000000" w:themeColor="text1"/>
          <w:sz w:val="20"/>
          <w:szCs w:val="20"/>
          <w:vertAlign w:val="superscript"/>
          <w:lang w:val="en-US"/>
        </w:rPr>
        <w:t xml:space="preserve"> </w:t>
      </w:r>
    </w:p>
    <w:p w14:paraId="074C8DBC" w14:textId="77777777" w:rsidR="00A164BD" w:rsidRDefault="00A164BD" w:rsidP="00310C0A">
      <w:pPr>
        <w:spacing w:after="0" w:line="360" w:lineRule="auto"/>
        <w:rPr>
          <w:rFonts w:ascii="Arial" w:hAnsi="Arial" w:cs="Arial"/>
          <w:sz w:val="20"/>
          <w:szCs w:val="20"/>
          <w:lang w:val="en-US"/>
        </w:rPr>
      </w:pPr>
    </w:p>
    <w:sectPr w:rsidR="00A164BD" w:rsidSect="008A67DD">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8D92" w14:textId="77777777" w:rsidR="00D4098B" w:rsidRDefault="00D4098B" w:rsidP="007C145B">
      <w:pPr>
        <w:spacing w:after="0" w:line="240" w:lineRule="auto"/>
      </w:pPr>
      <w:r>
        <w:separator/>
      </w:r>
    </w:p>
  </w:endnote>
  <w:endnote w:type="continuationSeparator" w:id="0">
    <w:p w14:paraId="0C3D6EFE" w14:textId="77777777" w:rsidR="00D4098B" w:rsidRDefault="00D4098B" w:rsidP="007C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lgunGothicBold">
    <w:altName w:val="Arial Unicode MS"/>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DCC3" w14:textId="77777777" w:rsidR="00D4098B" w:rsidRDefault="00D4098B" w:rsidP="007C145B">
      <w:pPr>
        <w:spacing w:after="0" w:line="240" w:lineRule="auto"/>
      </w:pPr>
      <w:r>
        <w:separator/>
      </w:r>
    </w:p>
  </w:footnote>
  <w:footnote w:type="continuationSeparator" w:id="0">
    <w:p w14:paraId="08E026CE" w14:textId="77777777" w:rsidR="00D4098B" w:rsidRDefault="00D4098B" w:rsidP="007C1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21B7" w14:textId="68CE7E34" w:rsidR="007C145B" w:rsidRDefault="007C145B">
    <w:pPr>
      <w:pStyle w:val="Cabealho"/>
    </w:pPr>
    <w:r>
      <w:t>CBRA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A66A4"/>
    <w:multiLevelType w:val="hybridMultilevel"/>
    <w:tmpl w:val="CBF642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1226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0A"/>
    <w:rsid w:val="000F5F3A"/>
    <w:rsid w:val="002E6374"/>
    <w:rsid w:val="00310C0A"/>
    <w:rsid w:val="003D4A9A"/>
    <w:rsid w:val="00420FE2"/>
    <w:rsid w:val="00421BCF"/>
    <w:rsid w:val="004F1519"/>
    <w:rsid w:val="0059112F"/>
    <w:rsid w:val="005F0480"/>
    <w:rsid w:val="00685C63"/>
    <w:rsid w:val="006C7AAB"/>
    <w:rsid w:val="00767739"/>
    <w:rsid w:val="007A4409"/>
    <w:rsid w:val="007C145B"/>
    <w:rsid w:val="00811AEE"/>
    <w:rsid w:val="008A67DD"/>
    <w:rsid w:val="008D7448"/>
    <w:rsid w:val="0091509D"/>
    <w:rsid w:val="00923A3D"/>
    <w:rsid w:val="009730F2"/>
    <w:rsid w:val="00980D22"/>
    <w:rsid w:val="00A164BD"/>
    <w:rsid w:val="00AE590C"/>
    <w:rsid w:val="00AF2B84"/>
    <w:rsid w:val="00B20012"/>
    <w:rsid w:val="00B5380A"/>
    <w:rsid w:val="00BF1BF3"/>
    <w:rsid w:val="00D14534"/>
    <w:rsid w:val="00D4098B"/>
    <w:rsid w:val="00EC30BE"/>
    <w:rsid w:val="00F51E7F"/>
    <w:rsid w:val="00F840D7"/>
    <w:rsid w:val="00FE5F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8AD9"/>
  <w15:docId w15:val="{7782E980-2CF1-44FD-B5A1-1FE77219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09D"/>
  </w:style>
  <w:style w:type="paragraph" w:styleId="Ttulo1">
    <w:name w:val="heading 1"/>
    <w:basedOn w:val="Normal"/>
    <w:next w:val="Normal"/>
    <w:link w:val="Ttulo1Char"/>
    <w:uiPriority w:val="9"/>
    <w:qFormat/>
    <w:rsid w:val="0091509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har"/>
    <w:uiPriority w:val="9"/>
    <w:semiHidden/>
    <w:unhideWhenUsed/>
    <w:qFormat/>
    <w:rsid w:val="0091509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1509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91509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har"/>
    <w:uiPriority w:val="9"/>
    <w:semiHidden/>
    <w:unhideWhenUsed/>
    <w:qFormat/>
    <w:rsid w:val="0091509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har"/>
    <w:uiPriority w:val="9"/>
    <w:semiHidden/>
    <w:unhideWhenUsed/>
    <w:qFormat/>
    <w:rsid w:val="0091509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har"/>
    <w:uiPriority w:val="9"/>
    <w:semiHidden/>
    <w:unhideWhenUsed/>
    <w:qFormat/>
    <w:rsid w:val="0091509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har"/>
    <w:uiPriority w:val="9"/>
    <w:semiHidden/>
    <w:unhideWhenUsed/>
    <w:qFormat/>
    <w:rsid w:val="0091509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har"/>
    <w:uiPriority w:val="9"/>
    <w:semiHidden/>
    <w:unhideWhenUsed/>
    <w:qFormat/>
    <w:rsid w:val="0091509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5380A"/>
    <w:pPr>
      <w:ind w:left="720"/>
      <w:contextualSpacing/>
    </w:pPr>
  </w:style>
  <w:style w:type="paragraph" w:styleId="NormalWeb">
    <w:name w:val="Normal (Web)"/>
    <w:basedOn w:val="Normal"/>
    <w:uiPriority w:val="99"/>
    <w:semiHidden/>
    <w:unhideWhenUsed/>
    <w:rsid w:val="007C14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1509D"/>
    <w:rPr>
      <w:b/>
      <w:bCs/>
    </w:rPr>
  </w:style>
  <w:style w:type="paragraph" w:styleId="Cabealho">
    <w:name w:val="header"/>
    <w:basedOn w:val="Normal"/>
    <w:link w:val="CabealhoChar"/>
    <w:uiPriority w:val="99"/>
    <w:unhideWhenUsed/>
    <w:rsid w:val="007C14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145B"/>
  </w:style>
  <w:style w:type="paragraph" w:styleId="Rodap">
    <w:name w:val="footer"/>
    <w:basedOn w:val="Normal"/>
    <w:link w:val="RodapChar"/>
    <w:uiPriority w:val="99"/>
    <w:unhideWhenUsed/>
    <w:rsid w:val="007C145B"/>
    <w:pPr>
      <w:tabs>
        <w:tab w:val="center" w:pos="4252"/>
        <w:tab w:val="right" w:pos="8504"/>
      </w:tabs>
      <w:spacing w:after="0" w:line="240" w:lineRule="auto"/>
    </w:pPr>
  </w:style>
  <w:style w:type="character" w:customStyle="1" w:styleId="RodapChar">
    <w:name w:val="Rodapé Char"/>
    <w:basedOn w:val="Fontepargpadro"/>
    <w:link w:val="Rodap"/>
    <w:uiPriority w:val="99"/>
    <w:rsid w:val="007C145B"/>
  </w:style>
  <w:style w:type="character" w:styleId="Refdecomentrio">
    <w:name w:val="annotation reference"/>
    <w:basedOn w:val="Fontepargpadro"/>
    <w:uiPriority w:val="99"/>
    <w:semiHidden/>
    <w:unhideWhenUsed/>
    <w:rsid w:val="002E6374"/>
    <w:rPr>
      <w:sz w:val="16"/>
      <w:szCs w:val="16"/>
    </w:rPr>
  </w:style>
  <w:style w:type="paragraph" w:styleId="Textodecomentrio">
    <w:name w:val="annotation text"/>
    <w:basedOn w:val="Normal"/>
    <w:link w:val="TextodecomentrioChar"/>
    <w:uiPriority w:val="99"/>
    <w:semiHidden/>
    <w:unhideWhenUsed/>
    <w:rsid w:val="002E6374"/>
    <w:pPr>
      <w:spacing w:after="200" w:line="240" w:lineRule="auto"/>
    </w:pPr>
    <w:rPr>
      <w:sz w:val="20"/>
      <w:szCs w:val="20"/>
      <w:lang w:val="en-GB"/>
    </w:rPr>
  </w:style>
  <w:style w:type="character" w:customStyle="1" w:styleId="TextodecomentrioChar">
    <w:name w:val="Texto de comentário Char"/>
    <w:basedOn w:val="Fontepargpadro"/>
    <w:link w:val="Textodecomentrio"/>
    <w:uiPriority w:val="99"/>
    <w:semiHidden/>
    <w:rsid w:val="002E6374"/>
    <w:rPr>
      <w:kern w:val="0"/>
      <w:sz w:val="20"/>
      <w:szCs w:val="20"/>
      <w:lang w:val="en-GB"/>
    </w:rPr>
  </w:style>
  <w:style w:type="paragraph" w:customStyle="1" w:styleId="Estilo">
    <w:name w:val="Estilo"/>
    <w:link w:val="EstiloChar"/>
    <w:uiPriority w:val="99"/>
    <w:rsid w:val="002E6374"/>
    <w:pPr>
      <w:widowControl w:val="0"/>
      <w:autoSpaceDE w:val="0"/>
      <w:autoSpaceDN w:val="0"/>
      <w:adjustRightInd w:val="0"/>
      <w:spacing w:after="0" w:line="240" w:lineRule="auto"/>
    </w:pPr>
    <w:rPr>
      <w:rFonts w:ascii="Arial" w:eastAsia="Times New Roman" w:hAnsi="Arial" w:cs="Courier"/>
      <w:sz w:val="24"/>
      <w:szCs w:val="24"/>
      <w:lang w:val="en-GB" w:eastAsia="pt-BR"/>
    </w:rPr>
  </w:style>
  <w:style w:type="character" w:customStyle="1" w:styleId="EstiloChar">
    <w:name w:val="Estilo Char"/>
    <w:basedOn w:val="Fontepargpadro"/>
    <w:link w:val="Estilo"/>
    <w:uiPriority w:val="99"/>
    <w:rsid w:val="002E6374"/>
    <w:rPr>
      <w:rFonts w:ascii="Arial" w:eastAsia="Times New Roman" w:hAnsi="Arial" w:cs="Courier"/>
      <w:kern w:val="0"/>
      <w:sz w:val="24"/>
      <w:szCs w:val="24"/>
      <w:lang w:val="en-GB" w:eastAsia="pt-BR"/>
    </w:rPr>
  </w:style>
  <w:style w:type="character" w:customStyle="1" w:styleId="Ttulo1Char">
    <w:name w:val="Título 1 Char"/>
    <w:basedOn w:val="Fontepargpadro"/>
    <w:link w:val="Ttulo1"/>
    <w:uiPriority w:val="9"/>
    <w:rsid w:val="0091509D"/>
    <w:rPr>
      <w:rFonts w:asciiTheme="majorHAnsi" w:eastAsiaTheme="majorEastAsia" w:hAnsiTheme="majorHAnsi" w:cstheme="majorBidi"/>
      <w:color w:val="1F3864" w:themeColor="accent1" w:themeShade="80"/>
      <w:sz w:val="36"/>
      <w:szCs w:val="36"/>
    </w:rPr>
  </w:style>
  <w:style w:type="character" w:customStyle="1" w:styleId="Ttulo2Char">
    <w:name w:val="Título 2 Char"/>
    <w:basedOn w:val="Fontepargpadro"/>
    <w:link w:val="Ttulo2"/>
    <w:uiPriority w:val="9"/>
    <w:semiHidden/>
    <w:rsid w:val="0091509D"/>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91509D"/>
    <w:rPr>
      <w:rFonts w:asciiTheme="majorHAnsi" w:eastAsiaTheme="majorEastAsia" w:hAnsiTheme="majorHAnsi" w:cstheme="majorBidi"/>
      <w:color w:val="2F5496" w:themeColor="accent1" w:themeShade="BF"/>
      <w:sz w:val="28"/>
      <w:szCs w:val="28"/>
    </w:rPr>
  </w:style>
  <w:style w:type="character" w:customStyle="1" w:styleId="Ttulo4Char">
    <w:name w:val="Título 4 Char"/>
    <w:basedOn w:val="Fontepargpadro"/>
    <w:link w:val="Ttulo4"/>
    <w:uiPriority w:val="9"/>
    <w:semiHidden/>
    <w:rsid w:val="0091509D"/>
    <w:rPr>
      <w:rFonts w:asciiTheme="majorHAnsi" w:eastAsiaTheme="majorEastAsia" w:hAnsiTheme="majorHAnsi" w:cstheme="majorBidi"/>
      <w:color w:val="2F5496" w:themeColor="accent1" w:themeShade="BF"/>
      <w:sz w:val="24"/>
      <w:szCs w:val="24"/>
    </w:rPr>
  </w:style>
  <w:style w:type="character" w:customStyle="1" w:styleId="Ttulo5Char">
    <w:name w:val="Título 5 Char"/>
    <w:basedOn w:val="Fontepargpadro"/>
    <w:link w:val="Ttulo5"/>
    <w:uiPriority w:val="9"/>
    <w:semiHidden/>
    <w:rsid w:val="0091509D"/>
    <w:rPr>
      <w:rFonts w:asciiTheme="majorHAnsi" w:eastAsiaTheme="majorEastAsia" w:hAnsiTheme="majorHAnsi" w:cstheme="majorBidi"/>
      <w:caps/>
      <w:color w:val="2F5496" w:themeColor="accent1" w:themeShade="BF"/>
    </w:rPr>
  </w:style>
  <w:style w:type="character" w:customStyle="1" w:styleId="Ttulo6Char">
    <w:name w:val="Título 6 Char"/>
    <w:basedOn w:val="Fontepargpadro"/>
    <w:link w:val="Ttulo6"/>
    <w:uiPriority w:val="9"/>
    <w:semiHidden/>
    <w:rsid w:val="0091509D"/>
    <w:rPr>
      <w:rFonts w:asciiTheme="majorHAnsi" w:eastAsiaTheme="majorEastAsia" w:hAnsiTheme="majorHAnsi" w:cstheme="majorBidi"/>
      <w:i/>
      <w:iCs/>
      <w:caps/>
      <w:color w:val="1F3864" w:themeColor="accent1" w:themeShade="80"/>
    </w:rPr>
  </w:style>
  <w:style w:type="character" w:customStyle="1" w:styleId="Ttulo7Char">
    <w:name w:val="Título 7 Char"/>
    <w:basedOn w:val="Fontepargpadro"/>
    <w:link w:val="Ttulo7"/>
    <w:uiPriority w:val="9"/>
    <w:semiHidden/>
    <w:rsid w:val="0091509D"/>
    <w:rPr>
      <w:rFonts w:asciiTheme="majorHAnsi" w:eastAsiaTheme="majorEastAsia" w:hAnsiTheme="majorHAnsi" w:cstheme="majorBidi"/>
      <w:b/>
      <w:bCs/>
      <w:color w:val="1F3864" w:themeColor="accent1" w:themeShade="80"/>
    </w:rPr>
  </w:style>
  <w:style w:type="character" w:customStyle="1" w:styleId="Ttulo8Char">
    <w:name w:val="Título 8 Char"/>
    <w:basedOn w:val="Fontepargpadro"/>
    <w:link w:val="Ttulo8"/>
    <w:uiPriority w:val="9"/>
    <w:semiHidden/>
    <w:rsid w:val="0091509D"/>
    <w:rPr>
      <w:rFonts w:asciiTheme="majorHAnsi" w:eastAsiaTheme="majorEastAsia" w:hAnsiTheme="majorHAnsi" w:cstheme="majorBidi"/>
      <w:b/>
      <w:bCs/>
      <w:i/>
      <w:iCs/>
      <w:color w:val="1F3864" w:themeColor="accent1" w:themeShade="80"/>
    </w:rPr>
  </w:style>
  <w:style w:type="character" w:customStyle="1" w:styleId="Ttulo9Char">
    <w:name w:val="Título 9 Char"/>
    <w:basedOn w:val="Fontepargpadro"/>
    <w:link w:val="Ttulo9"/>
    <w:uiPriority w:val="9"/>
    <w:semiHidden/>
    <w:rsid w:val="0091509D"/>
    <w:rPr>
      <w:rFonts w:asciiTheme="majorHAnsi" w:eastAsiaTheme="majorEastAsia" w:hAnsiTheme="majorHAnsi" w:cstheme="majorBidi"/>
      <w:i/>
      <w:iCs/>
      <w:color w:val="1F3864" w:themeColor="accent1" w:themeShade="80"/>
    </w:rPr>
  </w:style>
  <w:style w:type="paragraph" w:styleId="Legenda">
    <w:name w:val="caption"/>
    <w:basedOn w:val="Normal"/>
    <w:next w:val="Normal"/>
    <w:uiPriority w:val="35"/>
    <w:semiHidden/>
    <w:unhideWhenUsed/>
    <w:qFormat/>
    <w:rsid w:val="0091509D"/>
    <w:pPr>
      <w:spacing w:line="240" w:lineRule="auto"/>
    </w:pPr>
    <w:rPr>
      <w:b/>
      <w:bCs/>
      <w:smallCaps/>
      <w:color w:val="44546A" w:themeColor="text2"/>
    </w:rPr>
  </w:style>
  <w:style w:type="paragraph" w:styleId="Ttulo">
    <w:name w:val="Title"/>
    <w:basedOn w:val="Normal"/>
    <w:next w:val="Normal"/>
    <w:link w:val="TtuloChar"/>
    <w:uiPriority w:val="10"/>
    <w:qFormat/>
    <w:rsid w:val="0091509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91509D"/>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91509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har">
    <w:name w:val="Subtítulo Char"/>
    <w:basedOn w:val="Fontepargpadro"/>
    <w:link w:val="Subttulo"/>
    <w:uiPriority w:val="11"/>
    <w:rsid w:val="0091509D"/>
    <w:rPr>
      <w:rFonts w:asciiTheme="majorHAnsi" w:eastAsiaTheme="majorEastAsia" w:hAnsiTheme="majorHAnsi" w:cstheme="majorBidi"/>
      <w:color w:val="4472C4" w:themeColor="accent1"/>
      <w:sz w:val="28"/>
      <w:szCs w:val="28"/>
    </w:rPr>
  </w:style>
  <w:style w:type="character" w:styleId="nfase">
    <w:name w:val="Emphasis"/>
    <w:basedOn w:val="Fontepargpadro"/>
    <w:uiPriority w:val="20"/>
    <w:qFormat/>
    <w:rsid w:val="0091509D"/>
    <w:rPr>
      <w:i/>
      <w:iCs/>
    </w:rPr>
  </w:style>
  <w:style w:type="paragraph" w:styleId="SemEspaamento">
    <w:name w:val="No Spacing"/>
    <w:uiPriority w:val="1"/>
    <w:qFormat/>
    <w:rsid w:val="0091509D"/>
    <w:pPr>
      <w:spacing w:after="0" w:line="240" w:lineRule="auto"/>
    </w:pPr>
  </w:style>
  <w:style w:type="paragraph" w:styleId="Citao">
    <w:name w:val="Quote"/>
    <w:basedOn w:val="Normal"/>
    <w:next w:val="Normal"/>
    <w:link w:val="CitaoChar"/>
    <w:uiPriority w:val="29"/>
    <w:qFormat/>
    <w:rsid w:val="0091509D"/>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91509D"/>
    <w:rPr>
      <w:color w:val="44546A" w:themeColor="text2"/>
      <w:sz w:val="24"/>
      <w:szCs w:val="24"/>
    </w:rPr>
  </w:style>
  <w:style w:type="paragraph" w:styleId="CitaoIntensa">
    <w:name w:val="Intense Quote"/>
    <w:basedOn w:val="Normal"/>
    <w:next w:val="Normal"/>
    <w:link w:val="CitaoIntensaChar"/>
    <w:uiPriority w:val="30"/>
    <w:qFormat/>
    <w:rsid w:val="0091509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91509D"/>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91509D"/>
    <w:rPr>
      <w:i/>
      <w:iCs/>
      <w:color w:val="595959" w:themeColor="text1" w:themeTint="A6"/>
    </w:rPr>
  </w:style>
  <w:style w:type="character" w:styleId="nfaseIntensa">
    <w:name w:val="Intense Emphasis"/>
    <w:basedOn w:val="Fontepargpadro"/>
    <w:uiPriority w:val="21"/>
    <w:qFormat/>
    <w:rsid w:val="0091509D"/>
    <w:rPr>
      <w:b/>
      <w:bCs/>
      <w:i/>
      <w:iCs/>
    </w:rPr>
  </w:style>
  <w:style w:type="character" w:styleId="RefernciaSutil">
    <w:name w:val="Subtle Reference"/>
    <w:basedOn w:val="Fontepargpadro"/>
    <w:uiPriority w:val="31"/>
    <w:qFormat/>
    <w:rsid w:val="0091509D"/>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91509D"/>
    <w:rPr>
      <w:b/>
      <w:bCs/>
      <w:smallCaps/>
      <w:color w:val="44546A" w:themeColor="text2"/>
      <w:u w:val="single"/>
    </w:rPr>
  </w:style>
  <w:style w:type="character" w:styleId="TtulodoLivro">
    <w:name w:val="Book Title"/>
    <w:basedOn w:val="Fontepargpadro"/>
    <w:uiPriority w:val="33"/>
    <w:qFormat/>
    <w:rsid w:val="0091509D"/>
    <w:rPr>
      <w:b/>
      <w:bCs/>
      <w:smallCaps/>
      <w:spacing w:val="10"/>
    </w:rPr>
  </w:style>
  <w:style w:type="paragraph" w:styleId="CabealhodoSumrio">
    <w:name w:val="TOC Heading"/>
    <w:basedOn w:val="Ttulo1"/>
    <w:next w:val="Normal"/>
    <w:uiPriority w:val="39"/>
    <w:semiHidden/>
    <w:unhideWhenUsed/>
    <w:qFormat/>
    <w:rsid w:val="0091509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3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Braga | FERTILITY</dc:creator>
  <cp:keywords/>
  <dc:description/>
  <cp:lastModifiedBy>Amanda Setti</cp:lastModifiedBy>
  <cp:revision>4</cp:revision>
  <dcterms:created xsi:type="dcterms:W3CDTF">2023-07-27T15:23:00Z</dcterms:created>
  <dcterms:modified xsi:type="dcterms:W3CDTF">2023-07-27T15:23:00Z</dcterms:modified>
</cp:coreProperties>
</file>