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D9F4" w14:textId="3DC2B0C4" w:rsidR="00E80612" w:rsidRDefault="00E80612" w:rsidP="00E80612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8061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Title: </w:t>
      </w:r>
      <w:bookmarkStart w:id="0" w:name="_Hlk106220349"/>
      <w:r w:rsidRPr="002457E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Prediction of Varicocelectomy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Outcomes U</w:t>
      </w:r>
      <w:r w:rsidRPr="002457E0">
        <w:rPr>
          <w:rFonts w:ascii="Times New Roman" w:hAnsi="Times New Roman" w:cs="Times New Roman"/>
          <w:bCs/>
          <w:sz w:val="24"/>
          <w:szCs w:val="24"/>
          <w:lang w:val="en-US"/>
        </w:rPr>
        <w:t>sing 1 H NMR-based Metabonomics Assays</w:t>
      </w:r>
      <w:r w:rsidR="00904B8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Blood Serum</w:t>
      </w:r>
    </w:p>
    <w:bookmarkEnd w:id="0"/>
    <w:p w14:paraId="1B8249ED" w14:textId="08869B4D" w:rsidR="00E80612" w:rsidRPr="002457E0" w:rsidRDefault="00E80612" w:rsidP="00E806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57E0">
        <w:rPr>
          <w:rFonts w:ascii="Times New Roman" w:hAnsi="Times New Roman" w:cs="Times New Roman"/>
          <w:sz w:val="24"/>
          <w:szCs w:val="24"/>
          <w:lang w:val="en-US"/>
        </w:rPr>
        <w:t>Objectives: To create metabolomics models capable of segregating men who improved semen analysis (SA) parameters after microsurgical varicocelectomy (MV) from those who did not, using Hydrogen-1 nuclear magnetic resonance (</w:t>
      </w:r>
      <w:r w:rsidRPr="002457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H NMR) spectra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blood </w:t>
      </w:r>
      <w:r w:rsidR="00904B80">
        <w:rPr>
          <w:rFonts w:ascii="Times New Roman" w:hAnsi="Times New Roman" w:cs="Times New Roman"/>
          <w:sz w:val="24"/>
          <w:szCs w:val="24"/>
          <w:lang w:val="en-US"/>
        </w:rPr>
        <w:t>serum</w:t>
      </w:r>
      <w:r w:rsidR="00D142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of pre-operative samples.</w:t>
      </w:r>
    </w:p>
    <w:p w14:paraId="705AC32A" w14:textId="63BBB51E" w:rsidR="00E80612" w:rsidRPr="002457E0" w:rsidRDefault="00E80612" w:rsidP="00E806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Methods: We recruited </w:t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infertile men with palpable varicocele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abnormal semen analysis (SA)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 xml:space="preserve"> Preoperative peripheral venous blood </w:t>
      </w:r>
      <w:r w:rsidR="00FC4544" w:rsidRPr="00FC4544">
        <w:rPr>
          <w:rFonts w:ascii="Times New Roman" w:hAnsi="Times New Roman" w:cs="Times New Roman"/>
          <w:sz w:val="24"/>
          <w:szCs w:val="24"/>
          <w:lang w:val="en-US"/>
        </w:rPr>
        <w:t xml:space="preserve">samples were centrifuged at 3000 g for 15 minutes to separate the 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>cellular component from the</w:t>
      </w:r>
      <w:r w:rsidR="00FC4544" w:rsidRPr="00FC4544">
        <w:rPr>
          <w:rFonts w:ascii="Times New Roman" w:hAnsi="Times New Roman" w:cs="Times New Roman"/>
          <w:sz w:val="24"/>
          <w:szCs w:val="24"/>
          <w:lang w:val="en-US"/>
        </w:rPr>
        <w:t xml:space="preserve"> supernatant </w:t>
      </w:r>
      <w:r w:rsidR="00904B80">
        <w:rPr>
          <w:rFonts w:ascii="Times New Roman" w:hAnsi="Times New Roman" w:cs="Times New Roman"/>
          <w:sz w:val="24"/>
          <w:szCs w:val="24"/>
          <w:lang w:val="en-US"/>
        </w:rPr>
        <w:t>serum</w:t>
      </w:r>
      <w:r w:rsidR="00FC4544" w:rsidRPr="00FC4544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>blood serum</w:t>
      </w:r>
      <w:r w:rsidR="00FC4544" w:rsidRPr="00FC4544">
        <w:rPr>
          <w:rFonts w:ascii="Times New Roman" w:hAnsi="Times New Roman" w:cs="Times New Roman"/>
          <w:sz w:val="24"/>
          <w:szCs w:val="24"/>
          <w:lang w:val="en-US"/>
        </w:rPr>
        <w:t xml:space="preserve"> samples were kept frozen at –</w:t>
      </w:r>
      <w:r w:rsidR="00904B8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C4544" w:rsidRPr="00FC4544">
        <w:rPr>
          <w:rFonts w:ascii="Times New Roman" w:hAnsi="Times New Roman" w:cs="Times New Roman"/>
          <w:sz w:val="24"/>
          <w:szCs w:val="24"/>
          <w:lang w:val="en-US"/>
        </w:rPr>
        <w:t>0°C until analysis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457E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H NMR spectra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blood </w:t>
      </w:r>
      <w:r w:rsidR="00904B80">
        <w:rPr>
          <w:rFonts w:ascii="Times New Roman" w:hAnsi="Times New Roman" w:cs="Times New Roman"/>
          <w:sz w:val="24"/>
          <w:szCs w:val="24"/>
          <w:lang w:val="en-US"/>
        </w:rPr>
        <w:t>serum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were obtained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and used to create metabonomics models.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participants were treated with artery and lymphatic sparing MV by the same surgeon.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Improvement was defined as an increase </w:t>
      </w:r>
      <w:r w:rsidR="00D14266">
        <w:rPr>
          <w:rFonts w:ascii="Times New Roman" w:hAnsi="Times New Roman" w:cs="Times New Roman"/>
          <w:sz w:val="24"/>
          <w:szCs w:val="24"/>
          <w:lang w:val="en-US"/>
        </w:rPr>
        <w:t xml:space="preserve">of at least 20% 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in the total motile progressive sperm count (TMC) of the post-operative SA when compared to the baseline.</w:t>
      </w:r>
    </w:p>
    <w:p w14:paraId="64FE19B1" w14:textId="789F09C4" w:rsidR="00E80612" w:rsidRPr="002457E0" w:rsidRDefault="00E80612" w:rsidP="00E806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Results: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Eighteen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 (56%)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 had SA improvement after MV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 and were included in the improved (I) group, the remaining 14 participants were included in the non-improved (NI) </w:t>
      </w:r>
      <w:proofErr w:type="spellStart"/>
      <w:r w:rsidR="00F729B1">
        <w:rPr>
          <w:rFonts w:ascii="Times New Roman" w:hAnsi="Times New Roman" w:cs="Times New Roman"/>
          <w:sz w:val="24"/>
          <w:szCs w:val="24"/>
          <w:lang w:val="en-US"/>
        </w:rPr>
        <w:t>grop</w:t>
      </w:r>
      <w:proofErr w:type="spellEnd"/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no differences regarding the baseline characteristics and SA parameters. The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group had lower baseline luteinizing hormone levels when compared to the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 (4.3 vs 7.0 </w:t>
      </w:r>
      <w:proofErr w:type="spellStart"/>
      <w:r w:rsidR="00F729B1">
        <w:rPr>
          <w:rFonts w:ascii="Times New Roman" w:hAnsi="Times New Roman" w:cs="Times New Roman"/>
          <w:sz w:val="24"/>
          <w:szCs w:val="24"/>
          <w:lang w:val="en-US"/>
        </w:rPr>
        <w:t>mUI</w:t>
      </w:r>
      <w:proofErr w:type="spellEnd"/>
      <w:r w:rsidR="00F729B1">
        <w:rPr>
          <w:rFonts w:ascii="Times New Roman" w:hAnsi="Times New Roman" w:cs="Times New Roman"/>
          <w:sz w:val="24"/>
          <w:szCs w:val="24"/>
          <w:lang w:val="en-US"/>
        </w:rPr>
        <w:t>/mL), and there were no other differences concerning the baseline sexual hormones levels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 The I g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roup showed higher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post-operative 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sperm concentration, total sperm count, progressive motility, TMC, and morphology than the group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non-improvement group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 xml:space="preserve"> (Table 1)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. Concerning the changes of TMC from baseline, the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>group had a median increase of 1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="00F729B1" w:rsidRPr="00F729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 sperm whereas the group NI had a median decrease of -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5.1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 x 10</w:t>
      </w:r>
      <w:r w:rsidR="00F729B1" w:rsidRPr="00F729B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 sperm (P-value &lt; 0.05). When the changes were analyzed using percentage, this difference was further highlighted, the group I demonstrated an increase of 2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% (range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% to 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lastRenderedPageBreak/>
        <w:t>34000%) and the group NI had a decrease of -59% (range -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 xml:space="preserve">% to – </w:t>
      </w:r>
      <w:r w:rsidR="00F729B1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F729B1" w:rsidRPr="00F729B1">
        <w:rPr>
          <w:rFonts w:ascii="Times New Roman" w:hAnsi="Times New Roman" w:cs="Times New Roman"/>
          <w:sz w:val="24"/>
          <w:szCs w:val="24"/>
          <w:lang w:val="en-US"/>
        </w:rPr>
        <w:t>%) (P-value &lt; 0.05).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Using Linear Discriminant Analysis (LDA), we created a model that discriminated the men who improved SA from those who did not with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 xml:space="preserve"> sensitivity of 88.2%, specificity of 80.0% and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accuracy of </w:t>
      </w:r>
      <w:r>
        <w:rPr>
          <w:rFonts w:ascii="Times New Roman" w:hAnsi="Times New Roman" w:cs="Times New Roman"/>
          <w:sz w:val="24"/>
          <w:szCs w:val="24"/>
          <w:lang w:val="en-US"/>
        </w:rPr>
        <w:t>84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D14266">
        <w:rPr>
          <w:rFonts w:ascii="Times New Roman" w:hAnsi="Times New Roman" w:cs="Times New Roman"/>
          <w:sz w:val="24"/>
          <w:szCs w:val="24"/>
          <w:lang w:val="en-US"/>
        </w:rPr>
        <w:t xml:space="preserve"> after leave-one-out cross validation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45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We identified </w:t>
      </w:r>
      <w:r w:rsidR="00D1426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metabolites that were important for group segregation: </w:t>
      </w:r>
      <w:r w:rsidR="00D14266">
        <w:rPr>
          <w:rFonts w:ascii="Times New Roman" w:hAnsi="Times New Roman" w:cs="Times New Roman"/>
          <w:sz w:val="24"/>
          <w:szCs w:val="24"/>
          <w:lang w:val="en-US"/>
        </w:rPr>
        <w:t xml:space="preserve">low density lipoprotein, 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isoleucine,</w:t>
      </w:r>
      <w:r w:rsidR="00D14266">
        <w:rPr>
          <w:rFonts w:ascii="Times New Roman" w:hAnsi="Times New Roman" w:cs="Times New Roman"/>
          <w:sz w:val="24"/>
          <w:szCs w:val="24"/>
          <w:lang w:val="en-US"/>
        </w:rPr>
        <w:t xml:space="preserve"> glutamate, and met</w:t>
      </w:r>
      <w:r w:rsidR="00DF70A2">
        <w:rPr>
          <w:rFonts w:ascii="Times New Roman" w:hAnsi="Times New Roman" w:cs="Times New Roman"/>
          <w:sz w:val="24"/>
          <w:szCs w:val="24"/>
          <w:lang w:val="en-US"/>
        </w:rPr>
        <w:t>hy</w:t>
      </w:r>
      <w:r w:rsidR="00D14266">
        <w:rPr>
          <w:rFonts w:ascii="Times New Roman" w:hAnsi="Times New Roman" w:cs="Times New Roman"/>
          <w:sz w:val="24"/>
          <w:szCs w:val="24"/>
          <w:lang w:val="en-US"/>
        </w:rPr>
        <w:t>lamine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B0140E" w14:textId="740F9106" w:rsidR="00E80612" w:rsidRPr="002457E0" w:rsidRDefault="00E80612" w:rsidP="00E806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Conclusions: </w:t>
      </w:r>
      <w:r w:rsidR="00FC4544"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We described the use of metabonomics model to predict </w:t>
      </w:r>
      <w:r w:rsidR="00D14266" w:rsidRPr="002457E0">
        <w:rPr>
          <w:rFonts w:ascii="Times New Roman" w:hAnsi="Times New Roman" w:cs="Times New Roman"/>
          <w:sz w:val="24"/>
          <w:szCs w:val="24"/>
          <w:lang w:val="en-US"/>
        </w:rPr>
        <w:t>the outcomes of MV in infertile men with varicocele</w:t>
      </w:r>
      <w:r w:rsidR="00D14266"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544"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with high accuracy. The most important metabolites for groups segregation are involved in </w:t>
      </w:r>
      <w:r w:rsidR="00904B80">
        <w:rPr>
          <w:rFonts w:ascii="Times New Roman" w:hAnsi="Times New Roman" w:cs="Times New Roman"/>
          <w:sz w:val="24"/>
          <w:szCs w:val="24"/>
          <w:lang w:val="en-US"/>
        </w:rPr>
        <w:t>amino acid</w:t>
      </w:r>
      <w:r w:rsidR="00FC4544"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metabolism and oxidative stress response, highlighting the pivotal role of these mechanisms in the pathophysiology of varicocele.</w:t>
      </w:r>
      <w:r w:rsidRPr="002457E0">
        <w:rPr>
          <w:rFonts w:ascii="Times New Roman" w:hAnsi="Times New Roman" w:cs="Times New Roman"/>
          <w:sz w:val="24"/>
          <w:szCs w:val="24"/>
          <w:lang w:val="en-US"/>
        </w:rPr>
        <w:t xml:space="preserve"> These models may help counseling infertile men with varicocele regarding their prognosis after surgery.</w:t>
      </w:r>
    </w:p>
    <w:p w14:paraId="19D28F69" w14:textId="5F292481" w:rsidR="00A971D7" w:rsidRDefault="00A971D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990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220"/>
        <w:gridCol w:w="2070"/>
        <w:gridCol w:w="1800"/>
        <w:gridCol w:w="810"/>
      </w:tblGrid>
      <w:tr w:rsidR="00FC4544" w:rsidRPr="00FC4544" w14:paraId="7445C20D" w14:textId="77777777" w:rsidTr="009F2CE7">
        <w:trPr>
          <w:trHeight w:val="278"/>
        </w:trPr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438AD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F4594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Non-improved (n=14)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CF4A4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Improved (n=18)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2020F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P value</w:t>
            </w:r>
          </w:p>
        </w:tc>
      </w:tr>
      <w:tr w:rsidR="00FC4544" w:rsidRPr="00FC4544" w14:paraId="2396CC08" w14:textId="77777777" w:rsidTr="009F2CE7">
        <w:tc>
          <w:tcPr>
            <w:tcW w:w="5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26D4D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Time since surgery 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(days),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  <w:lang w:val="en-US"/>
              </w:rPr>
              <w:t xml:space="preserve">median (IQR)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7F120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120 (100, 150)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A1D69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105 (90, 150)</w:t>
            </w:r>
          </w:p>
        </w:tc>
        <w:tc>
          <w:tcPr>
            <w:tcW w:w="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7153F" w14:textId="54E7A93D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en-US"/>
              </w:rPr>
              <w:t>0.36</w:t>
            </w:r>
          </w:p>
        </w:tc>
      </w:tr>
      <w:tr w:rsidR="00FC4544" w:rsidRPr="00FC4544" w14:paraId="5333EE80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E26F2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Sperm concentration (10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6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/mL),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  <w:lang w:val="en-US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FC29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0.6 (0.0, 7.5)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EA09C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17.0 (4.5, 23.5)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47A48" w14:textId="565472F5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&lt;0.05</w:t>
            </w:r>
          </w:p>
        </w:tc>
      </w:tr>
      <w:tr w:rsidR="00FC4544" w:rsidRPr="00FC4544" w14:paraId="377DD383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1963F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Total sperm count (10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6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/mL),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  <w:lang w:val="en-US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D9805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2.9 (0.0, 30.8)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DED4D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41.0 (13.8, 63.5)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59BFC" w14:textId="00CB0D21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&lt;0.05</w:t>
            </w:r>
          </w:p>
        </w:tc>
      </w:tr>
      <w:tr w:rsidR="00FC4544" w:rsidRPr="00FC4544" w14:paraId="0E7A259D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0E92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Progressive motility (%),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3E9E8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20 (0, 32)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12E49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37 (19, 45)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9B1E4" w14:textId="08C3629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&lt;0.05</w:t>
            </w:r>
          </w:p>
        </w:tc>
      </w:tr>
      <w:tr w:rsidR="00FC4544" w:rsidRPr="00FC4544" w14:paraId="2934C12A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1AAD5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progessive</w:t>
            </w:r>
            <w:proofErr w:type="spellEnd"/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motile sperm count (10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6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/mL),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  <w:lang w:val="en-US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B36C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0.1 (0.0, 7.3)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734C9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14.2 (4.9, 29.6)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0FB49" w14:textId="4AA9E5CA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&lt;0.05</w:t>
            </w:r>
          </w:p>
        </w:tc>
      </w:tr>
      <w:tr w:rsidR="00FC4544" w:rsidRPr="00FC4544" w14:paraId="1BFA8999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33117" w14:textId="21E44DB3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Morphology (%),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F1F1E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5.0 (2.5, 8.5)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97A9F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8.0 (5.0, 10.0)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EC7E" w14:textId="72E15ECB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&lt;0.05</w:t>
            </w:r>
          </w:p>
        </w:tc>
      </w:tr>
      <w:tr w:rsidR="00FC4544" w:rsidRPr="00FC4544" w14:paraId="2BEF20CA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D74AA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 xml:space="preserve">Volume (mL),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1A5E6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3.5 (1.9, 5.0)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66A68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2.5 (2.0, 4.0)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CE94D" w14:textId="4AFE8330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en-US"/>
              </w:rPr>
              <w:t>0.69</w:t>
            </w:r>
          </w:p>
        </w:tc>
      </w:tr>
      <w:tr w:rsidR="00FC4544" w:rsidRPr="00FC4544" w14:paraId="67F456FF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9BBEE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 xml:space="preserve">pH,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B4512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8.0 (7.0, 8.0)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59271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7.8 (7.3, 8.0)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FB6CA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  <w:lang w:val="en-US"/>
              </w:rPr>
              <w:t>NA</w:t>
            </w:r>
          </w:p>
        </w:tc>
      </w:tr>
      <w:tr w:rsidR="00FC4544" w:rsidRPr="00FC4544" w14:paraId="4978AD05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A6FE5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val="en-US"/>
              </w:rPr>
              <w:t xml:space="preserve">Change TMC 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>(10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position w:val="7"/>
                <w:sz w:val="20"/>
                <w:szCs w:val="20"/>
                <w:vertAlign w:val="superscript"/>
                <w:lang w:val="en-US"/>
              </w:rPr>
              <w:t>6</w:t>
            </w:r>
            <w:r w:rsidRPr="00FC4544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/mL),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  <w:lang w:val="en-US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37650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-5.1 (-10.0, -1.0)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B7E5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+10.6 (+2.6, +25.3)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1CE6B" w14:textId="20FBA294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&lt;0.05</w:t>
            </w:r>
          </w:p>
        </w:tc>
      </w:tr>
      <w:tr w:rsidR="00FC4544" w:rsidRPr="00FC4544" w14:paraId="2D27D818" w14:textId="77777777" w:rsidTr="009F2CE7">
        <w:trPr>
          <w:trHeight w:val="278"/>
        </w:trPr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283F7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</w:rPr>
              <w:t xml:space="preserve">Change TMC (%), </w:t>
            </w:r>
            <w:r w:rsidRPr="00FC4544">
              <w:rPr>
                <w:rFonts w:eastAsiaTheme="minorEastAsia" w:hAnsi="Calibri" w:cs="Times New Roman"/>
                <w:color w:val="000000" w:themeColor="text1"/>
                <w:kern w:val="24"/>
                <w:sz w:val="20"/>
                <w:szCs w:val="20"/>
              </w:rPr>
              <w:t xml:space="preserve">median (IQR)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D6AD4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-59 (-94, -34)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2786" w14:textId="77777777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+223 (+94, +1500)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117B9" w14:textId="7098CEF2" w:rsidR="00FC4544" w:rsidRPr="00FC4544" w:rsidRDefault="00FC4544" w:rsidP="00FC454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C4544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&lt;0.05</w:t>
            </w:r>
          </w:p>
        </w:tc>
      </w:tr>
    </w:tbl>
    <w:p w14:paraId="59C413BC" w14:textId="77777777" w:rsidR="00FC4544" w:rsidRDefault="00FC454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58AF13" w14:textId="77777777" w:rsidR="00FC4544" w:rsidRPr="00E80612" w:rsidRDefault="00FC4544" w:rsidP="009F2CE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FC4544" w:rsidRPr="00E80612" w:rsidSect="009F2CE7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12"/>
    <w:rsid w:val="00015D7D"/>
    <w:rsid w:val="003011F2"/>
    <w:rsid w:val="00564ADC"/>
    <w:rsid w:val="00904B80"/>
    <w:rsid w:val="009F2CE7"/>
    <w:rsid w:val="00A971D7"/>
    <w:rsid w:val="00D14266"/>
    <w:rsid w:val="00DF70A2"/>
    <w:rsid w:val="00E80612"/>
    <w:rsid w:val="00F729B1"/>
    <w:rsid w:val="00FA30EF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564F"/>
  <w15:chartTrackingRefBased/>
  <w15:docId w15:val="{17296B87-A79B-48A4-8B92-A489F486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12"/>
    <w:rPr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568</Words>
  <Characters>3117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Tenorio</dc:creator>
  <cp:keywords/>
  <dc:description/>
  <cp:lastModifiedBy>Filipe Tenorio</cp:lastModifiedBy>
  <cp:revision>5</cp:revision>
  <dcterms:created xsi:type="dcterms:W3CDTF">2023-07-18T14:43:00Z</dcterms:created>
  <dcterms:modified xsi:type="dcterms:W3CDTF">2023-07-18T15:46:00Z</dcterms:modified>
</cp:coreProperties>
</file>