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3440" w14:textId="77777777" w:rsidR="00A74D36" w:rsidRDefault="00A74D36" w:rsidP="00FF29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</w:p>
    <w:p w14:paraId="7D404F02" w14:textId="56AFB442" w:rsidR="00FF2977" w:rsidRDefault="00FF2977" w:rsidP="00FF29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  <w:r>
        <w:rPr>
          <w:rFonts w:asciiTheme="majorHAnsi" w:hAnsiTheme="majorHAnsi" w:cstheme="majorHAnsi"/>
          <w:b/>
          <w:bCs/>
          <w:color w:val="000000"/>
          <w:lang w:val="en-GB"/>
        </w:rPr>
        <w:t>V</w:t>
      </w:r>
      <w:r w:rsidRPr="00A85880">
        <w:rPr>
          <w:rFonts w:asciiTheme="majorHAnsi" w:hAnsiTheme="majorHAnsi" w:cstheme="majorHAnsi"/>
          <w:b/>
          <w:bCs/>
          <w:color w:val="000000"/>
          <w:lang w:val="en-GB"/>
        </w:rPr>
        <w:t>ariants and genes associated with carrier health risk</w:t>
      </w:r>
      <w:r>
        <w:rPr>
          <w:rFonts w:asciiTheme="majorHAnsi" w:hAnsiTheme="majorHAnsi" w:cstheme="majorHAnsi"/>
          <w:b/>
          <w:bCs/>
          <w:color w:val="000000"/>
          <w:lang w:val="en-GB"/>
        </w:rPr>
        <w:t>:</w:t>
      </w:r>
    </w:p>
    <w:p w14:paraId="4BFCCA04" w14:textId="33930F8A" w:rsidR="00FF2977" w:rsidRDefault="00FF2977" w:rsidP="00FF29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  <w:r>
        <w:rPr>
          <w:rFonts w:asciiTheme="majorHAnsi" w:hAnsiTheme="majorHAnsi" w:cstheme="majorHAnsi"/>
          <w:b/>
          <w:bCs/>
          <w:color w:val="000000"/>
          <w:lang w:val="en-GB"/>
        </w:rPr>
        <w:t>T</w:t>
      </w:r>
      <w:r w:rsidRPr="00FF2977">
        <w:rPr>
          <w:rFonts w:asciiTheme="majorHAnsi" w:hAnsiTheme="majorHAnsi" w:cstheme="majorHAnsi"/>
          <w:b/>
          <w:bCs/>
          <w:color w:val="000000"/>
          <w:lang w:val="en-GB"/>
        </w:rPr>
        <w:t xml:space="preserve">he importance of carrier </w:t>
      </w:r>
      <w:r w:rsidR="00E23A7A">
        <w:rPr>
          <w:rFonts w:asciiTheme="majorHAnsi" w:hAnsiTheme="majorHAnsi" w:cstheme="majorHAnsi"/>
          <w:b/>
          <w:bCs/>
          <w:color w:val="000000"/>
          <w:lang w:val="en-GB"/>
        </w:rPr>
        <w:t>screening</w:t>
      </w:r>
      <w:r w:rsidRPr="00FF2977">
        <w:rPr>
          <w:rFonts w:asciiTheme="majorHAnsi" w:hAnsiTheme="majorHAnsi" w:cstheme="majorHAnsi"/>
          <w:b/>
          <w:bCs/>
          <w:color w:val="000000"/>
          <w:lang w:val="en-GB"/>
        </w:rPr>
        <w:t xml:space="preserve"> beyond family planning</w:t>
      </w:r>
    </w:p>
    <w:p w14:paraId="3BA1D7A3" w14:textId="77777777" w:rsidR="00EE2A17" w:rsidRDefault="00EE2A17" w:rsidP="00FF29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lang w:val="en-GB"/>
        </w:rPr>
      </w:pPr>
    </w:p>
    <w:p w14:paraId="6AD405E5" w14:textId="332172C4" w:rsidR="00FF2977" w:rsidRPr="00BF2450" w:rsidRDefault="00EE2A17" w:rsidP="00A85880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</w:pPr>
      <w:r w:rsidRPr="00BF245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Ali, </w:t>
      </w:r>
      <w:r w:rsidR="00E23A7A" w:rsidRPr="00BF2450">
        <w:rPr>
          <w:rFonts w:asciiTheme="majorHAnsi" w:hAnsiTheme="majorHAnsi" w:cstheme="majorHAnsi"/>
          <w:color w:val="000000" w:themeColor="text1"/>
          <w:sz w:val="20"/>
          <w:szCs w:val="20"/>
        </w:rPr>
        <w:t>T.M</w:t>
      </w:r>
      <w:r w:rsidR="00E23A7A" w:rsidRPr="00BF2450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>1</w:t>
      </w:r>
      <w:r w:rsidR="00E23A7A" w:rsidRPr="00BF2450">
        <w:rPr>
          <w:rFonts w:asciiTheme="majorHAnsi" w:hAnsiTheme="majorHAnsi" w:cstheme="majorHAnsi"/>
          <w:color w:val="000000" w:themeColor="text1"/>
          <w:sz w:val="20"/>
          <w:szCs w:val="20"/>
        </w:rPr>
        <w:t>;</w:t>
      </w:r>
      <w:r w:rsidR="00B54D4C" w:rsidRPr="00BF245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F2450">
        <w:rPr>
          <w:rFonts w:asciiTheme="majorHAnsi" w:hAnsiTheme="majorHAnsi" w:cstheme="majorHAnsi"/>
          <w:color w:val="000000" w:themeColor="text1"/>
          <w:sz w:val="20"/>
          <w:szCs w:val="20"/>
        </w:rPr>
        <w:t>Gonçalves, N.J.N</w:t>
      </w:r>
      <w:r w:rsidR="00B54D4C" w:rsidRPr="00BF2450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>2</w:t>
      </w:r>
    </w:p>
    <w:p w14:paraId="4023EFB1" w14:textId="46A31498" w:rsidR="00384DE6" w:rsidRPr="00BF2450" w:rsidRDefault="00384DE6" w:rsidP="00384DE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pt-BR"/>
        </w:rPr>
      </w:pPr>
      <w:r w:rsidRPr="00BF2450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  <w:lang w:val="pt-BR"/>
        </w:rPr>
        <w:t>1</w:t>
      </w:r>
      <w:r w:rsidRPr="00BF2450">
        <w:rPr>
          <w:rFonts w:asciiTheme="majorHAnsi" w:hAnsiTheme="majorHAnsi" w:cstheme="majorHAnsi"/>
          <w:color w:val="000000" w:themeColor="text1"/>
          <w:sz w:val="20"/>
          <w:szCs w:val="20"/>
          <w:lang w:val="pt-BR"/>
        </w:rPr>
        <w:t>Assessora científica – Diagnósticos da América S.A – DASA Genômica – Brasil.</w:t>
      </w:r>
    </w:p>
    <w:p w14:paraId="529A7821" w14:textId="08874432" w:rsidR="005A5499" w:rsidRPr="00BF2450" w:rsidRDefault="00384DE6" w:rsidP="005A54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pt-BR"/>
        </w:rPr>
      </w:pPr>
      <w:r w:rsidRPr="00BF2450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  <w:lang w:val="pt-BR"/>
        </w:rPr>
        <w:t>2</w:t>
      </w:r>
      <w:r w:rsidR="005A5499" w:rsidRPr="00BF2450">
        <w:rPr>
          <w:rFonts w:asciiTheme="majorHAnsi" w:hAnsiTheme="majorHAnsi" w:cstheme="majorHAnsi"/>
          <w:color w:val="000000" w:themeColor="text1"/>
          <w:sz w:val="20"/>
          <w:szCs w:val="20"/>
          <w:lang w:val="pt-BR"/>
        </w:rPr>
        <w:t>Gerente de genética reprodutiva – Diagnósticos da América S.A – DASA Genômica – Brasil.</w:t>
      </w:r>
    </w:p>
    <w:p w14:paraId="2795ED1A" w14:textId="30E5C049" w:rsidR="003435F0" w:rsidRPr="00A85880" w:rsidRDefault="00A85880" w:rsidP="00A85880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/>
          <w:lang w:val="en-GB"/>
        </w:rPr>
      </w:pPr>
      <w:r w:rsidRPr="00A85880">
        <w:rPr>
          <w:rFonts w:asciiTheme="majorHAnsi" w:hAnsiTheme="majorHAnsi" w:cstheme="majorHAnsi"/>
          <w:b/>
          <w:bCs/>
          <w:color w:val="000000"/>
          <w:lang w:val="en-GB"/>
        </w:rPr>
        <w:t>Objective:</w:t>
      </w:r>
      <w:r>
        <w:rPr>
          <w:rFonts w:asciiTheme="majorHAnsi" w:hAnsiTheme="majorHAnsi" w:cstheme="majorHAnsi"/>
          <w:color w:val="000000"/>
          <w:lang w:val="en-GB"/>
        </w:rPr>
        <w:t xml:space="preserve"> 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>Carrier screening panels typically do not include any autosomal dominant (AD) disorders, although some heterozygous carriers of certain autosomal recessive (AR) disorders may manifest symptoms</w:t>
      </w:r>
      <w:r w:rsidR="00B50FE2">
        <w:rPr>
          <w:rFonts w:asciiTheme="majorHAnsi" w:hAnsiTheme="majorHAnsi" w:cstheme="majorHAnsi"/>
          <w:color w:val="000000"/>
          <w:lang w:val="en-GB"/>
        </w:rPr>
        <w:t xml:space="preserve"> because in some cases, genes could lead to </w:t>
      </w:r>
      <w:r w:rsidR="00BF2450">
        <w:rPr>
          <w:rFonts w:asciiTheme="majorHAnsi" w:hAnsiTheme="majorHAnsi" w:cstheme="majorHAnsi"/>
          <w:color w:val="000000"/>
          <w:lang w:val="en-GB"/>
        </w:rPr>
        <w:t>an</w:t>
      </w:r>
      <w:r w:rsidR="00B50FE2">
        <w:rPr>
          <w:rFonts w:asciiTheme="majorHAnsi" w:hAnsiTheme="majorHAnsi" w:cstheme="majorHAnsi"/>
          <w:color w:val="000000"/>
          <w:lang w:val="en-GB"/>
        </w:rPr>
        <w:t xml:space="preserve"> AD condition in the same gene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. In addition, there are patients who may have variants in compound </w:t>
      </w:r>
      <w:r w:rsidRPr="00A85880">
        <w:rPr>
          <w:rFonts w:asciiTheme="majorHAnsi" w:hAnsiTheme="majorHAnsi" w:cstheme="majorHAnsi"/>
          <w:color w:val="000000"/>
          <w:lang w:val="en-GB"/>
        </w:rPr>
        <w:t>hetero</w:t>
      </w:r>
      <w:r>
        <w:rPr>
          <w:rFonts w:asciiTheme="majorHAnsi" w:hAnsiTheme="majorHAnsi" w:cstheme="majorHAnsi"/>
          <w:color w:val="000000"/>
          <w:lang w:val="en-GB"/>
        </w:rPr>
        <w:t>zygous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or homozygo</w:t>
      </w:r>
      <w:r>
        <w:rPr>
          <w:rFonts w:asciiTheme="majorHAnsi" w:hAnsiTheme="majorHAnsi" w:cstheme="majorHAnsi"/>
          <w:color w:val="000000"/>
          <w:lang w:val="en-GB"/>
        </w:rPr>
        <w:t>us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for </w:t>
      </w:r>
      <w:r>
        <w:rPr>
          <w:rFonts w:asciiTheme="majorHAnsi" w:hAnsiTheme="majorHAnsi" w:cstheme="majorHAnsi"/>
          <w:color w:val="000000"/>
          <w:lang w:val="en-GB"/>
        </w:rPr>
        <w:t>AR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conditions, leading to an additional genetic </w:t>
      </w:r>
      <w:r w:rsidR="00323B47" w:rsidRPr="00A85880">
        <w:rPr>
          <w:rFonts w:asciiTheme="majorHAnsi" w:hAnsiTheme="majorHAnsi" w:cstheme="majorHAnsi"/>
          <w:color w:val="000000"/>
          <w:lang w:val="en-GB"/>
        </w:rPr>
        <w:t>counselling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dilemma. </w:t>
      </w:r>
      <w:r>
        <w:rPr>
          <w:rFonts w:asciiTheme="majorHAnsi" w:hAnsiTheme="majorHAnsi" w:cstheme="majorHAnsi"/>
          <w:color w:val="000000"/>
          <w:lang w:val="en-GB"/>
        </w:rPr>
        <w:t>This study aims t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o assess the percentage of cases with variants in genes that cause genetic conditions of AR or X-linked (LX) inheritance that could lead to health </w:t>
      </w:r>
      <w:r>
        <w:rPr>
          <w:rFonts w:asciiTheme="majorHAnsi" w:hAnsiTheme="majorHAnsi" w:cstheme="majorHAnsi"/>
          <w:color w:val="000000"/>
          <w:lang w:val="en-GB"/>
        </w:rPr>
        <w:t>risks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for carriers.</w:t>
      </w:r>
      <w:r>
        <w:rPr>
          <w:rFonts w:asciiTheme="majorHAnsi" w:hAnsiTheme="majorHAnsi" w:cstheme="majorHAnsi"/>
          <w:color w:val="000000"/>
          <w:lang w:val="en-GB"/>
        </w:rPr>
        <w:t xml:space="preserve"> </w:t>
      </w:r>
      <w:r w:rsidRPr="00A85880">
        <w:rPr>
          <w:rFonts w:asciiTheme="majorHAnsi" w:hAnsiTheme="majorHAnsi" w:cstheme="majorHAnsi"/>
          <w:b/>
          <w:bCs/>
          <w:color w:val="000000"/>
          <w:lang w:val="en-GB"/>
        </w:rPr>
        <w:t>Metho</w:t>
      </w:r>
      <w:r w:rsidR="00B43835">
        <w:rPr>
          <w:rFonts w:asciiTheme="majorHAnsi" w:hAnsiTheme="majorHAnsi" w:cstheme="majorHAnsi"/>
          <w:b/>
          <w:bCs/>
          <w:color w:val="000000"/>
          <w:lang w:val="en-GB"/>
        </w:rPr>
        <w:t>d</w:t>
      </w:r>
      <w:r w:rsidRPr="00A85880">
        <w:rPr>
          <w:rFonts w:asciiTheme="majorHAnsi" w:hAnsiTheme="majorHAnsi" w:cstheme="majorHAnsi"/>
          <w:b/>
          <w:bCs/>
          <w:color w:val="000000"/>
          <w:lang w:val="en-GB"/>
        </w:rPr>
        <w:t>s:</w:t>
      </w:r>
      <w:r>
        <w:rPr>
          <w:rFonts w:asciiTheme="majorHAnsi" w:hAnsiTheme="majorHAnsi" w:cstheme="majorHAnsi"/>
          <w:color w:val="000000"/>
          <w:lang w:val="en-GB"/>
        </w:rPr>
        <w:t xml:space="preserve"> 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>Retrospective study of carrier genetic tests (Horizon 4 or 274 genes)</w:t>
      </w:r>
      <w:r w:rsidR="00CA6737">
        <w:rPr>
          <w:rFonts w:asciiTheme="majorHAnsi" w:hAnsiTheme="majorHAnsi" w:cstheme="majorHAnsi"/>
          <w:color w:val="000000"/>
          <w:lang w:val="en-GB"/>
        </w:rPr>
        <w:t xml:space="preserve"> performed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for family planning before assisted reproduction treatment</w:t>
      </w:r>
      <w:r w:rsidR="00CA6737">
        <w:rPr>
          <w:rFonts w:asciiTheme="majorHAnsi" w:hAnsiTheme="majorHAnsi" w:cstheme="majorHAnsi"/>
          <w:color w:val="000000"/>
          <w:lang w:val="en-GB"/>
        </w:rPr>
        <w:t xml:space="preserve"> at DASA GENÔMICA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between 2021 and 2022 (24 months). We evaluated </w:t>
      </w:r>
      <w:r w:rsidR="00CA6737">
        <w:rPr>
          <w:rFonts w:asciiTheme="majorHAnsi" w:hAnsiTheme="majorHAnsi" w:cstheme="majorHAnsi"/>
          <w:color w:val="000000"/>
          <w:lang w:val="en-GB"/>
        </w:rPr>
        <w:t xml:space="preserve">the results in </w:t>
      </w:r>
      <w:r>
        <w:rPr>
          <w:rFonts w:asciiTheme="majorHAnsi" w:hAnsiTheme="majorHAnsi" w:cstheme="majorHAnsi"/>
          <w:color w:val="000000"/>
          <w:lang w:val="en-GB"/>
        </w:rPr>
        <w:t xml:space="preserve">two scenarios: (1) cases that presented two variants in the homozygous or heterozygous compound state in all the genes studied; (2) 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>whether patients with a positive test result had any pathogenic or probably pathogenic variant in the following genes reported in the literature and/or databases associated with health risk: ATM (increased risk of cancer, especially breast); NBN (increased risk of cancer, especially breast); GBA (Parkinson's disease); COL4A4 (</w:t>
      </w:r>
      <w:proofErr w:type="spellStart"/>
      <w:r w:rsidR="005418DB" w:rsidRPr="00A85880">
        <w:rPr>
          <w:rFonts w:asciiTheme="majorHAnsi" w:hAnsiTheme="majorHAnsi" w:cstheme="majorHAnsi"/>
          <w:color w:val="000000"/>
          <w:lang w:val="en-GB"/>
        </w:rPr>
        <w:t>hematuria</w:t>
      </w:r>
      <w:proofErr w:type="spellEnd"/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); GJB2 (deafness with AD inheritance); CFTR (pancreatitis); FMR1 (ovarian insufficiency); DMD (cardiomyopathy); GLA (heart disease and hypertension). The methodology used in the panels was next-generation sequencing (NGS) and genes such as FMR1 and DMD were evaluated by complementary techniques. The </w:t>
      </w:r>
      <w:r w:rsidR="00CA6737">
        <w:rPr>
          <w:rFonts w:asciiTheme="majorHAnsi" w:hAnsiTheme="majorHAnsi" w:cstheme="majorHAnsi"/>
          <w:color w:val="000000"/>
          <w:lang w:val="en-GB"/>
        </w:rPr>
        <w:t>study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consisted of 167 patients (77.84% women and 22.16% men), aged 18 years or older, with no report or knowledge of genetic diseases in the family.</w:t>
      </w:r>
      <w:r>
        <w:rPr>
          <w:rFonts w:asciiTheme="majorHAnsi" w:hAnsiTheme="majorHAnsi" w:cstheme="majorHAnsi"/>
          <w:color w:val="000000"/>
          <w:lang w:val="en-GB"/>
        </w:rPr>
        <w:t xml:space="preserve"> </w:t>
      </w:r>
      <w:r w:rsidRPr="00A85880">
        <w:rPr>
          <w:rFonts w:asciiTheme="majorHAnsi" w:hAnsiTheme="majorHAnsi" w:cstheme="majorHAnsi"/>
          <w:b/>
          <w:bCs/>
          <w:color w:val="000000"/>
          <w:lang w:val="en-GB"/>
        </w:rPr>
        <w:t>Results:</w:t>
      </w:r>
      <w:r>
        <w:rPr>
          <w:rFonts w:asciiTheme="majorHAnsi" w:hAnsiTheme="majorHAnsi" w:cstheme="majorHAnsi"/>
          <w:color w:val="000000"/>
          <w:lang w:val="en-GB"/>
        </w:rPr>
        <w:t xml:space="preserve"> 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68 patients had at least one detected pathogenic or probably pathogenic variant of all </w:t>
      </w:r>
      <w:proofErr w:type="spellStart"/>
      <w:r w:rsidR="005418DB" w:rsidRPr="00A85880">
        <w:rPr>
          <w:rFonts w:asciiTheme="majorHAnsi" w:hAnsiTheme="majorHAnsi" w:cstheme="majorHAnsi"/>
          <w:color w:val="000000"/>
          <w:lang w:val="en-GB"/>
        </w:rPr>
        <w:t>analyzed</w:t>
      </w:r>
      <w:proofErr w:type="spellEnd"/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genes (4 or 274 genes, depending on the panel).</w:t>
      </w:r>
      <w:r w:rsidR="00B50FE2">
        <w:rPr>
          <w:rFonts w:asciiTheme="majorHAnsi" w:hAnsiTheme="majorHAnsi" w:cstheme="majorHAnsi"/>
          <w:color w:val="000000"/>
          <w:lang w:val="en-GB"/>
        </w:rPr>
        <w:t xml:space="preserve"> In three patients, two variants were detected in different genes: GJB2 related to deafness; CFTR related to cystic fibrosis, and GAA which could lead to </w:t>
      </w:r>
      <w:proofErr w:type="spellStart"/>
      <w:r w:rsidR="00B50FE2">
        <w:rPr>
          <w:rFonts w:asciiTheme="majorHAnsi" w:hAnsiTheme="majorHAnsi" w:cstheme="majorHAnsi"/>
          <w:color w:val="000000"/>
          <w:lang w:val="en-GB"/>
        </w:rPr>
        <w:t>Pompe’s</w:t>
      </w:r>
      <w:proofErr w:type="spellEnd"/>
      <w:r w:rsidR="00B50FE2">
        <w:rPr>
          <w:rFonts w:asciiTheme="majorHAnsi" w:hAnsiTheme="majorHAnsi" w:cstheme="majorHAnsi"/>
          <w:color w:val="000000"/>
          <w:lang w:val="en-GB"/>
        </w:rPr>
        <w:t xml:space="preserve"> disease. </w:t>
      </w:r>
      <w:r w:rsidR="00B50FE2">
        <w:rPr>
          <w:rFonts w:asciiTheme="majorHAnsi" w:hAnsiTheme="majorHAnsi" w:cstheme="majorHAnsi"/>
          <w:color w:val="000000"/>
          <w:lang w:val="en-GB"/>
        </w:rPr>
        <w:lastRenderedPageBreak/>
        <w:t>However, it was not possible to determine whether they were in cis (same allele) or trans (different allele).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We observed 5 patients with </w:t>
      </w:r>
      <w:r w:rsidR="00B50FE2">
        <w:rPr>
          <w:rFonts w:asciiTheme="majorHAnsi" w:hAnsiTheme="majorHAnsi" w:cstheme="majorHAnsi"/>
          <w:color w:val="000000"/>
          <w:lang w:val="en-GB"/>
        </w:rPr>
        <w:t xml:space="preserve">a 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variant in GJB2 (sensorineural deafness); </w:t>
      </w:r>
      <w:r w:rsidR="00B50FE2">
        <w:rPr>
          <w:rFonts w:asciiTheme="majorHAnsi" w:hAnsiTheme="majorHAnsi" w:cstheme="majorHAnsi"/>
          <w:color w:val="000000"/>
          <w:lang w:val="en-GB"/>
        </w:rPr>
        <w:t>4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with variants in CFTR; 2 patients with GBA variant and 1 patient with 70 CGG repeats in FMR1. </w:t>
      </w:r>
      <w:r w:rsidRPr="00A85880">
        <w:rPr>
          <w:rFonts w:asciiTheme="majorHAnsi" w:hAnsiTheme="majorHAnsi" w:cstheme="majorHAnsi"/>
          <w:b/>
          <w:bCs/>
          <w:color w:val="000000"/>
          <w:lang w:val="en-GB"/>
        </w:rPr>
        <w:t>Conclusions: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This s</w:t>
      </w:r>
      <w:r w:rsidR="00B50FE2">
        <w:rPr>
          <w:rFonts w:asciiTheme="majorHAnsi" w:hAnsiTheme="majorHAnsi" w:cstheme="majorHAnsi"/>
          <w:color w:val="000000"/>
          <w:lang w:val="en-GB"/>
        </w:rPr>
        <w:t>tudy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demonstrates that approximately 8% of the </w:t>
      </w:r>
      <w:r w:rsidR="00BF2450">
        <w:rPr>
          <w:rFonts w:asciiTheme="majorHAnsi" w:hAnsiTheme="majorHAnsi" w:cstheme="majorHAnsi"/>
          <w:color w:val="000000"/>
          <w:lang w:val="en-GB"/>
        </w:rPr>
        <w:t>patients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presented variants in genes that may increase the health risk for the individual and not just for the offspring</w:t>
      </w:r>
      <w:r w:rsidR="00B50FE2">
        <w:rPr>
          <w:rFonts w:asciiTheme="majorHAnsi" w:hAnsiTheme="majorHAnsi" w:cstheme="majorHAnsi"/>
          <w:color w:val="000000"/>
          <w:lang w:val="en-GB"/>
        </w:rPr>
        <w:t>, although carrier screening panels do not aim to detect or diagnose conditions in patients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. Such disorders deserve special attention and </w:t>
      </w:r>
      <w:r w:rsidRPr="00A85880">
        <w:rPr>
          <w:rFonts w:asciiTheme="majorHAnsi" w:hAnsiTheme="majorHAnsi" w:cstheme="majorHAnsi"/>
          <w:color w:val="000000"/>
          <w:lang w:val="en-GB"/>
        </w:rPr>
        <w:t>direct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genetic </w:t>
      </w:r>
      <w:r w:rsidR="00323B47" w:rsidRPr="00A85880">
        <w:rPr>
          <w:rFonts w:asciiTheme="majorHAnsi" w:hAnsiTheme="majorHAnsi" w:cstheme="majorHAnsi"/>
          <w:color w:val="000000"/>
          <w:lang w:val="en-GB"/>
        </w:rPr>
        <w:t>counselling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not only for family planning but also for monitoring the individual </w:t>
      </w:r>
      <w:r w:rsidR="00BF2450">
        <w:rPr>
          <w:rFonts w:asciiTheme="majorHAnsi" w:hAnsiTheme="majorHAnsi" w:cstheme="majorHAnsi"/>
          <w:color w:val="000000"/>
          <w:lang w:val="en-GB"/>
        </w:rPr>
        <w:t>to stratify and reduce</w:t>
      </w:r>
      <w:r w:rsidR="005418DB" w:rsidRPr="00A85880">
        <w:rPr>
          <w:rFonts w:asciiTheme="majorHAnsi" w:hAnsiTheme="majorHAnsi" w:cstheme="majorHAnsi"/>
          <w:color w:val="000000"/>
          <w:lang w:val="en-GB"/>
        </w:rPr>
        <w:t xml:space="preserve"> the risk of developing genetic alterations throughout life.</w:t>
      </w:r>
    </w:p>
    <w:p w14:paraId="57642D56" w14:textId="77777777" w:rsidR="000D1454" w:rsidRPr="005418DB" w:rsidRDefault="000D1454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p w14:paraId="55009DE2" w14:textId="77777777" w:rsidR="003435F0" w:rsidRPr="005418DB" w:rsidRDefault="003435F0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p w14:paraId="3F5E67B9" w14:textId="77777777" w:rsidR="003435F0" w:rsidRPr="005418DB" w:rsidRDefault="003435F0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p w14:paraId="49637411" w14:textId="77777777" w:rsidR="003435F0" w:rsidRPr="005418DB" w:rsidRDefault="003435F0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p w14:paraId="015D0744" w14:textId="77777777" w:rsidR="005418DB" w:rsidRPr="005418DB" w:rsidRDefault="005418DB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p w14:paraId="4F081C2F" w14:textId="77777777" w:rsidR="005418DB" w:rsidRPr="005418DB" w:rsidRDefault="005418DB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p w14:paraId="5249B8B1" w14:textId="77777777" w:rsidR="003435F0" w:rsidRPr="005418DB" w:rsidRDefault="003435F0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p w14:paraId="21708DB8" w14:textId="77777777" w:rsidR="003435F0" w:rsidRPr="005418DB" w:rsidRDefault="003435F0" w:rsidP="003435F0">
      <w:pPr>
        <w:pStyle w:val="NormalWeb"/>
        <w:jc w:val="both"/>
        <w:rPr>
          <w:color w:val="000000"/>
          <w:sz w:val="27"/>
          <w:szCs w:val="27"/>
          <w:lang w:val="en-GB"/>
        </w:rPr>
      </w:pPr>
    </w:p>
    <w:sectPr w:rsidR="003435F0" w:rsidRPr="00541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E5BD" w14:textId="77777777" w:rsidR="004A1498" w:rsidRDefault="004A1498" w:rsidP="00AF5923">
      <w:pPr>
        <w:spacing w:after="0" w:line="240" w:lineRule="auto"/>
      </w:pPr>
      <w:r>
        <w:separator/>
      </w:r>
    </w:p>
  </w:endnote>
  <w:endnote w:type="continuationSeparator" w:id="0">
    <w:p w14:paraId="711F49E5" w14:textId="77777777" w:rsidR="004A1498" w:rsidRDefault="004A1498" w:rsidP="00AF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B7E6" w14:textId="77777777" w:rsidR="004A1498" w:rsidRDefault="004A1498" w:rsidP="00AF5923">
      <w:pPr>
        <w:spacing w:after="0" w:line="240" w:lineRule="auto"/>
      </w:pPr>
      <w:r>
        <w:separator/>
      </w:r>
    </w:p>
  </w:footnote>
  <w:footnote w:type="continuationSeparator" w:id="0">
    <w:p w14:paraId="7182B957" w14:textId="77777777" w:rsidR="004A1498" w:rsidRDefault="004A1498" w:rsidP="00AF59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VWHZeo1Pnftj0" int2:id="Sw9FZ6d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E2ED4"/>
    <w:multiLevelType w:val="multilevel"/>
    <w:tmpl w:val="5CD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62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E"/>
    <w:rsid w:val="000447F2"/>
    <w:rsid w:val="000D1454"/>
    <w:rsid w:val="001F1E7E"/>
    <w:rsid w:val="0030382E"/>
    <w:rsid w:val="00323B47"/>
    <w:rsid w:val="003435F0"/>
    <w:rsid w:val="00384DE6"/>
    <w:rsid w:val="00395D7A"/>
    <w:rsid w:val="00412B81"/>
    <w:rsid w:val="00453696"/>
    <w:rsid w:val="004A1498"/>
    <w:rsid w:val="004D3F7E"/>
    <w:rsid w:val="005157AE"/>
    <w:rsid w:val="005418DB"/>
    <w:rsid w:val="0057068E"/>
    <w:rsid w:val="005A5499"/>
    <w:rsid w:val="006B1E7C"/>
    <w:rsid w:val="006B7CE6"/>
    <w:rsid w:val="00723B49"/>
    <w:rsid w:val="007B2A45"/>
    <w:rsid w:val="00806AAB"/>
    <w:rsid w:val="009F4EC5"/>
    <w:rsid w:val="00A74D36"/>
    <w:rsid w:val="00A85880"/>
    <w:rsid w:val="00AF5923"/>
    <w:rsid w:val="00B43835"/>
    <w:rsid w:val="00B50FE2"/>
    <w:rsid w:val="00B54D4C"/>
    <w:rsid w:val="00BF2450"/>
    <w:rsid w:val="00C84769"/>
    <w:rsid w:val="00CA6737"/>
    <w:rsid w:val="00D03064"/>
    <w:rsid w:val="00D136EA"/>
    <w:rsid w:val="00D833CB"/>
    <w:rsid w:val="00DB14FA"/>
    <w:rsid w:val="00E23A7A"/>
    <w:rsid w:val="00E61F89"/>
    <w:rsid w:val="00EE2A17"/>
    <w:rsid w:val="00FF2977"/>
    <w:rsid w:val="2D05C183"/>
    <w:rsid w:val="3B913772"/>
    <w:rsid w:val="65B2A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FFC67"/>
  <w15:chartTrackingRefBased/>
  <w15:docId w15:val="{325447F8-D2D7-4861-ABC6-F55B25BE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styleId="Reviso">
    <w:name w:val="Revision"/>
    <w:hidden/>
    <w:uiPriority w:val="99"/>
    <w:semiHidden/>
    <w:rsid w:val="005418D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Taccyanna Mikulski Ali</dc:creator>
  <cp:keywords/>
  <dc:description/>
  <cp:lastModifiedBy>Taccy</cp:lastModifiedBy>
  <cp:revision>2</cp:revision>
  <dcterms:created xsi:type="dcterms:W3CDTF">2023-07-21T23:44:00Z</dcterms:created>
  <dcterms:modified xsi:type="dcterms:W3CDTF">2023-07-21T23:44:00Z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c48f7293-ee7d-4561-bb27-3bd174f62a21</vt:lpwstr>
  </property>
</Properties>
</file>