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83" w:rsidRPr="00F60C83" w:rsidRDefault="00F60C83" w:rsidP="00F60C83">
      <w:pPr>
        <w:rPr>
          <w:rFonts w:ascii="Times New Roman" w:hAnsi="Times New Roman" w:cs="Times New Roman"/>
          <w:b/>
          <w:sz w:val="24"/>
        </w:rPr>
      </w:pPr>
    </w:p>
    <w:p w:rsidR="00F60C83" w:rsidRPr="00F60C83" w:rsidRDefault="00F60C83" w:rsidP="00F60C83">
      <w:pPr>
        <w:rPr>
          <w:rFonts w:ascii="Times New Roman" w:hAnsi="Times New Roman" w:cs="Times New Roman"/>
          <w:b/>
          <w:sz w:val="24"/>
        </w:rPr>
      </w:pPr>
      <w:proofErr w:type="spellStart"/>
      <w:r w:rsidRPr="00F60C83">
        <w:rPr>
          <w:rFonts w:ascii="Times New Roman" w:hAnsi="Times New Roman" w:cs="Times New Roman"/>
          <w:b/>
          <w:sz w:val="24"/>
        </w:rPr>
        <w:t>Comparison</w:t>
      </w:r>
      <w:proofErr w:type="spellEnd"/>
      <w:r w:rsidRPr="00F60C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C83">
        <w:rPr>
          <w:rFonts w:ascii="Times New Roman" w:hAnsi="Times New Roman" w:cs="Times New Roman"/>
          <w:b/>
          <w:sz w:val="24"/>
        </w:rPr>
        <w:t>of</w:t>
      </w:r>
      <w:proofErr w:type="spellEnd"/>
      <w:r w:rsidRPr="00F60C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C83">
        <w:rPr>
          <w:rFonts w:ascii="Times New Roman" w:hAnsi="Times New Roman" w:cs="Times New Roman"/>
          <w:b/>
          <w:sz w:val="24"/>
        </w:rPr>
        <w:t>the</w:t>
      </w:r>
      <w:proofErr w:type="spellEnd"/>
      <w:r w:rsidRPr="00F60C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C83">
        <w:rPr>
          <w:rFonts w:ascii="Times New Roman" w:hAnsi="Times New Roman" w:cs="Times New Roman"/>
          <w:b/>
          <w:sz w:val="24"/>
        </w:rPr>
        <w:t>efficacy</w:t>
      </w:r>
      <w:proofErr w:type="spellEnd"/>
      <w:r w:rsidRPr="00F60C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C83">
        <w:rPr>
          <w:rFonts w:ascii="Times New Roman" w:hAnsi="Times New Roman" w:cs="Times New Roman"/>
          <w:b/>
          <w:sz w:val="24"/>
        </w:rPr>
        <w:t>of</w:t>
      </w:r>
      <w:proofErr w:type="spellEnd"/>
      <w:r w:rsidRPr="00F60C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C83">
        <w:rPr>
          <w:rFonts w:ascii="Times New Roman" w:hAnsi="Times New Roman" w:cs="Times New Roman"/>
          <w:b/>
          <w:sz w:val="24"/>
        </w:rPr>
        <w:t>different</w:t>
      </w:r>
      <w:proofErr w:type="spellEnd"/>
      <w:r w:rsidRPr="00F60C8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F60C83">
        <w:rPr>
          <w:rFonts w:ascii="Times New Roman" w:hAnsi="Times New Roman" w:cs="Times New Roman"/>
          <w:b/>
          <w:sz w:val="24"/>
        </w:rPr>
        <w:t>hormonal triggers</w:t>
      </w:r>
      <w:proofErr w:type="gramEnd"/>
      <w:r w:rsidRPr="00F60C83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="000F3AF3">
        <w:rPr>
          <w:rFonts w:ascii="Times New Roman" w:hAnsi="Times New Roman" w:cs="Times New Roman"/>
          <w:b/>
          <w:sz w:val="24"/>
        </w:rPr>
        <w:t>controlled</w:t>
      </w:r>
      <w:proofErr w:type="spellEnd"/>
      <w:r w:rsidR="000F3A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F3AF3">
        <w:rPr>
          <w:rFonts w:ascii="Times New Roman" w:hAnsi="Times New Roman" w:cs="Times New Roman"/>
          <w:b/>
          <w:sz w:val="24"/>
        </w:rPr>
        <w:t>ovarian</w:t>
      </w:r>
      <w:proofErr w:type="spellEnd"/>
      <w:r w:rsidR="000F3A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F3AF3">
        <w:rPr>
          <w:rFonts w:ascii="Times New Roman" w:hAnsi="Times New Roman" w:cs="Times New Roman"/>
          <w:b/>
          <w:sz w:val="24"/>
        </w:rPr>
        <w:t>stimulation</w:t>
      </w:r>
      <w:bookmarkStart w:id="0" w:name="_GoBack"/>
      <w:bookmarkEnd w:id="0"/>
      <w:proofErr w:type="spellEnd"/>
    </w:p>
    <w:p w:rsidR="00F60C83" w:rsidRPr="00F60C83" w:rsidRDefault="00F60C83" w:rsidP="00F60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60C83">
        <w:rPr>
          <w:rFonts w:ascii="Times New Roman" w:hAnsi="Times New Roman" w:cs="Times New Roman"/>
          <w:sz w:val="20"/>
          <w:szCs w:val="20"/>
        </w:rPr>
        <w:t>Boncristiano</w:t>
      </w:r>
      <w:proofErr w:type="spellEnd"/>
      <w:r w:rsidRPr="00F60C8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60C83">
        <w:rPr>
          <w:rFonts w:ascii="Times New Roman" w:hAnsi="Times New Roman" w:cs="Times New Roman"/>
          <w:sz w:val="20"/>
          <w:szCs w:val="20"/>
        </w:rPr>
        <w:t xml:space="preserve">J.¹  </w:t>
      </w:r>
      <w:proofErr w:type="spellStart"/>
      <w:r w:rsidRPr="00F60C83">
        <w:rPr>
          <w:rFonts w:ascii="Times New Roman" w:hAnsi="Times New Roman" w:cs="Times New Roman"/>
          <w:sz w:val="20"/>
          <w:szCs w:val="20"/>
        </w:rPr>
        <w:t>Garavini</w:t>
      </w:r>
      <w:proofErr w:type="spellEnd"/>
      <w:proofErr w:type="gramEnd"/>
      <w:r w:rsidRPr="00F60C83">
        <w:rPr>
          <w:rFonts w:ascii="Times New Roman" w:hAnsi="Times New Roman" w:cs="Times New Roman"/>
          <w:sz w:val="20"/>
          <w:szCs w:val="20"/>
        </w:rPr>
        <w:t>, E.C¹ Moura, B.R.L.¹ Chaves, R,A.¹</w:t>
      </w:r>
    </w:p>
    <w:p w:rsidR="00F60C83" w:rsidRDefault="00F60C83" w:rsidP="00F60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C83">
        <w:rPr>
          <w:rFonts w:ascii="Times New Roman" w:hAnsi="Times New Roman" w:cs="Times New Roman"/>
          <w:sz w:val="20"/>
          <w:szCs w:val="20"/>
        </w:rPr>
        <w:t>Gerar InVitro¹</w:t>
      </w:r>
    </w:p>
    <w:p w:rsidR="00F60C83" w:rsidRDefault="00F60C83" w:rsidP="00F60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110" w:rsidRDefault="00FE6110" w:rsidP="00F60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Key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FE6110">
        <w:rPr>
          <w:rFonts w:ascii="Times New Roman" w:hAnsi="Times New Roman" w:cs="Times New Roman"/>
          <w:sz w:val="20"/>
          <w:szCs w:val="20"/>
        </w:rPr>
        <w:t xml:space="preserve">Trigger, </w:t>
      </w:r>
      <w:proofErr w:type="spellStart"/>
      <w:r w:rsidRPr="00FE6110">
        <w:rPr>
          <w:rFonts w:ascii="Times New Roman" w:hAnsi="Times New Roman" w:cs="Times New Roman"/>
          <w:sz w:val="20"/>
          <w:szCs w:val="20"/>
        </w:rPr>
        <w:t>Oocyte</w:t>
      </w:r>
      <w:proofErr w:type="spellEnd"/>
      <w:r w:rsidRPr="00FE61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E6110">
        <w:rPr>
          <w:rFonts w:ascii="Times New Roman" w:hAnsi="Times New Roman" w:cs="Times New Roman"/>
          <w:sz w:val="20"/>
          <w:szCs w:val="20"/>
        </w:rPr>
        <w:t>retrieval,Triptorelin</w:t>
      </w:r>
      <w:proofErr w:type="spellEnd"/>
      <w:proofErr w:type="gramEnd"/>
      <w:r w:rsidRPr="00FE61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6110">
        <w:rPr>
          <w:rFonts w:ascii="Times New Roman" w:hAnsi="Times New Roman" w:cs="Times New Roman"/>
          <w:sz w:val="20"/>
          <w:szCs w:val="20"/>
        </w:rPr>
        <w:t>acetate</w:t>
      </w:r>
      <w:proofErr w:type="spellEnd"/>
      <w:r w:rsidRPr="00FE61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6110">
        <w:rPr>
          <w:rFonts w:ascii="Times New Roman" w:hAnsi="Times New Roman" w:cs="Times New Roman"/>
          <w:sz w:val="20"/>
          <w:szCs w:val="20"/>
        </w:rPr>
        <w:t>Controlled</w:t>
      </w:r>
      <w:proofErr w:type="spellEnd"/>
      <w:r w:rsidRPr="00FE61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6110">
        <w:rPr>
          <w:rFonts w:ascii="Times New Roman" w:hAnsi="Times New Roman" w:cs="Times New Roman"/>
          <w:sz w:val="20"/>
          <w:szCs w:val="20"/>
        </w:rPr>
        <w:t>ovarian</w:t>
      </w:r>
      <w:proofErr w:type="spellEnd"/>
      <w:r w:rsidRPr="00FE61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6110">
        <w:rPr>
          <w:rFonts w:ascii="Times New Roman" w:hAnsi="Times New Roman" w:cs="Times New Roman"/>
          <w:sz w:val="20"/>
          <w:szCs w:val="20"/>
        </w:rPr>
        <w:t>stimulation</w:t>
      </w:r>
      <w:proofErr w:type="spellEnd"/>
      <w:r w:rsidRPr="00FE61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6110">
        <w:rPr>
          <w:rFonts w:ascii="Times New Roman" w:hAnsi="Times New Roman" w:cs="Times New Roman"/>
          <w:sz w:val="20"/>
          <w:szCs w:val="20"/>
        </w:rPr>
        <w:t>Alfacoriogonadotropin</w:t>
      </w:r>
      <w:proofErr w:type="spellEnd"/>
    </w:p>
    <w:p w:rsidR="00F60C83" w:rsidRDefault="00F60C83" w:rsidP="00F60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C83" w:rsidRPr="002B3E72" w:rsidRDefault="00F60C83" w:rsidP="00F6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E72">
        <w:rPr>
          <w:rFonts w:ascii="Times New Roman" w:hAnsi="Times New Roman" w:cs="Times New Roman"/>
          <w:b/>
          <w:sz w:val="24"/>
          <w:szCs w:val="24"/>
        </w:rPr>
        <w:t>Objective</w:t>
      </w:r>
      <w:proofErr w:type="spellEnd"/>
      <w:r w:rsidRPr="002B3E72">
        <w:rPr>
          <w:rFonts w:ascii="Times New Roman" w:hAnsi="Times New Roman" w:cs="Times New Roman"/>
          <w:b/>
          <w:sz w:val="24"/>
          <w:szCs w:val="24"/>
        </w:rPr>
        <w:t>:</w:t>
      </w:r>
      <w:r w:rsidRPr="002B3E7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compare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oocyte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follicles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oocytes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maturation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medications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ovulation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triggers: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agonist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Triptorelin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HCG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Alfacoriogonadotropin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>.</w:t>
      </w:r>
    </w:p>
    <w:p w:rsidR="00F60C83" w:rsidRPr="002B3E72" w:rsidRDefault="00F60C83" w:rsidP="00F6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E72" w:rsidRDefault="00F60C83" w:rsidP="00F6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E72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="00FE6110">
        <w:rPr>
          <w:rFonts w:ascii="Times New Roman" w:hAnsi="Times New Roman" w:cs="Times New Roman"/>
          <w:sz w:val="24"/>
          <w:szCs w:val="24"/>
        </w:rPr>
        <w:t xml:space="preserve">: </w:t>
      </w:r>
      <w:r w:rsidR="00FE6110" w:rsidRPr="00FE611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8,491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760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cryopreservation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four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Gerar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InVitro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trigger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Alfacoriogonadotropin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Triptorelin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triggers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Alfacoriogonadotropin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rate,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maturation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rate. The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Triptorelin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encompassing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triggers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Alfacoriogonadotropin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Triptorelin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chi-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test.</w:t>
      </w:r>
    </w:p>
    <w:p w:rsidR="002B3E72" w:rsidRDefault="002B3E72" w:rsidP="00F6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E72" w:rsidRPr="002B3E72" w:rsidRDefault="002B3E72" w:rsidP="00F6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3E72">
        <w:rPr>
          <w:rFonts w:ascii="Times New Roman" w:hAnsi="Times New Roman" w:cs="Times New Roman"/>
          <w:b/>
          <w:sz w:val="24"/>
          <w:szCs w:val="24"/>
        </w:rPr>
        <w:t>Results:</w:t>
      </w:r>
      <w:r w:rsidR="00FE6110" w:rsidRPr="00FE6110"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comparing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Alfacoriogonadotropin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1),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Triptorelin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2),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rate,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maturation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rate (77.31% vs. 65.82% in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(14.5 vs. 7.9 in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oocyte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maturation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Triptorelin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a high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follicles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110" w:rsidRPr="00FE6110">
        <w:rPr>
          <w:rFonts w:ascii="Times New Roman" w:hAnsi="Times New Roman" w:cs="Times New Roman"/>
          <w:sz w:val="24"/>
          <w:szCs w:val="24"/>
        </w:rPr>
        <w:t>maturation</w:t>
      </w:r>
      <w:proofErr w:type="spellEnd"/>
      <w:r w:rsidR="00FE6110" w:rsidRPr="00FE6110">
        <w:rPr>
          <w:rFonts w:ascii="Times New Roman" w:hAnsi="Times New Roman" w:cs="Times New Roman"/>
          <w:sz w:val="24"/>
          <w:szCs w:val="24"/>
        </w:rPr>
        <w:t>.</w:t>
      </w:r>
    </w:p>
    <w:p w:rsidR="002B3E72" w:rsidRPr="002B3E72" w:rsidRDefault="002B3E72" w:rsidP="00F6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E72" w:rsidRPr="002B3E72" w:rsidRDefault="002B3E72" w:rsidP="00F6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E72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2B3E72">
        <w:rPr>
          <w:rFonts w:ascii="Times New Roman" w:hAnsi="Times New Roman" w:cs="Times New Roman"/>
          <w:b/>
          <w:sz w:val="24"/>
          <w:szCs w:val="24"/>
        </w:rPr>
        <w:t>:</w:t>
      </w:r>
      <w:r w:rsidRPr="002B3E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triptorelin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proves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safe trigger,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mature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oocytes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a high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follicles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, explore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7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2B3E72">
        <w:rPr>
          <w:rFonts w:ascii="Times New Roman" w:hAnsi="Times New Roman" w:cs="Times New Roman"/>
          <w:sz w:val="24"/>
          <w:szCs w:val="24"/>
        </w:rPr>
        <w:t>.</w:t>
      </w:r>
    </w:p>
    <w:p w:rsidR="00F60C83" w:rsidRDefault="00F60C83" w:rsidP="0058097A">
      <w:pPr>
        <w:jc w:val="center"/>
        <w:rPr>
          <w:rFonts w:ascii="Arial" w:hAnsi="Arial" w:cs="Arial"/>
          <w:b/>
          <w:sz w:val="24"/>
          <w:szCs w:val="24"/>
        </w:rPr>
      </w:pPr>
    </w:p>
    <w:p w:rsidR="00FE6110" w:rsidRDefault="00FE6110" w:rsidP="0058097A">
      <w:pPr>
        <w:jc w:val="center"/>
        <w:rPr>
          <w:rFonts w:ascii="Arial" w:hAnsi="Arial" w:cs="Arial"/>
          <w:b/>
          <w:sz w:val="24"/>
          <w:szCs w:val="24"/>
        </w:rPr>
      </w:pPr>
    </w:p>
    <w:p w:rsidR="00FE6110" w:rsidRDefault="00FE6110" w:rsidP="0058097A">
      <w:pPr>
        <w:jc w:val="center"/>
        <w:rPr>
          <w:rFonts w:ascii="Arial" w:hAnsi="Arial" w:cs="Arial"/>
          <w:b/>
          <w:sz w:val="24"/>
          <w:szCs w:val="24"/>
        </w:rPr>
      </w:pPr>
    </w:p>
    <w:p w:rsidR="00FE6110" w:rsidRDefault="00FE6110" w:rsidP="0058097A">
      <w:pPr>
        <w:jc w:val="center"/>
        <w:rPr>
          <w:rFonts w:ascii="Arial" w:hAnsi="Arial" w:cs="Arial"/>
          <w:b/>
          <w:sz w:val="24"/>
          <w:szCs w:val="24"/>
        </w:rPr>
      </w:pPr>
    </w:p>
    <w:p w:rsidR="00FE6110" w:rsidRDefault="00FE6110" w:rsidP="0058097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651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172"/>
        <w:gridCol w:w="2228"/>
        <w:gridCol w:w="1165"/>
        <w:gridCol w:w="2215"/>
        <w:gridCol w:w="1580"/>
      </w:tblGrid>
      <w:tr w:rsidR="00FE6110" w:rsidRPr="00FE6110" w:rsidTr="00CE071F">
        <w:trPr>
          <w:trHeight w:val="324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Grupo 1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Grupo  3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DE P</w:t>
            </w:r>
          </w:p>
        </w:tc>
      </w:tr>
      <w:tr w:rsidR="00FE6110" w:rsidRPr="00FE6110" w:rsidTr="00CE071F">
        <w:trPr>
          <w:trHeight w:val="30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lang w:eastAsia="pt-BR"/>
              </w:rPr>
              <w:t>Alfacoriogonadotropina</w:t>
            </w:r>
            <w:proofErr w:type="spellEnd"/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Grupo Controle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E6110" w:rsidRPr="00FE6110" w:rsidTr="00CE071F">
        <w:trPr>
          <w:trHeight w:val="30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N (%)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Desvio Padrão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N (%)</w:t>
            </w:r>
          </w:p>
        </w:tc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Desvio Padrão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E6110" w:rsidRPr="00FE6110" w:rsidTr="00CE071F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n° Amostral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274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133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E6110" w:rsidRPr="00FE6110" w:rsidTr="00CE071F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Media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idade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E6110" w:rsidRPr="00FE6110" w:rsidTr="00CE071F">
        <w:trPr>
          <w:trHeight w:val="3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Tx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recuperação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79,36%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±41%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65,82%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±35,82%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0,273 </w:t>
            </w:r>
            <w:r w:rsidRPr="00FE6110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*G1/G3</w:t>
            </w:r>
          </w:p>
        </w:tc>
      </w:tr>
      <w:tr w:rsidR="00FE6110" w:rsidRPr="00FE6110" w:rsidTr="00CE071F">
        <w:trPr>
          <w:trHeight w:val="3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Media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oocitos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8,8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7,9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±6,34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0,673 </w:t>
            </w:r>
            <w:r w:rsidRPr="00FE6110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*G1/G3</w:t>
            </w:r>
          </w:p>
        </w:tc>
      </w:tr>
      <w:tr w:rsidR="00FE6110" w:rsidRPr="00FE6110" w:rsidTr="00CE071F">
        <w:trPr>
          <w:trHeight w:val="3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Tx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maturação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78,50%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±20,61%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79,23%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±19,46%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0,822 </w:t>
            </w:r>
            <w:r w:rsidRPr="00FE6110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*G1/G3</w:t>
            </w:r>
          </w:p>
        </w:tc>
      </w:tr>
      <w:tr w:rsidR="00FE6110" w:rsidRPr="00FE6110" w:rsidTr="00CE071F">
        <w:trPr>
          <w:trHeight w:val="288"/>
        </w:trPr>
        <w:tc>
          <w:tcPr>
            <w:tcW w:w="10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* Quando comparamos o grupo 1 com o grupo controle, não foram encontradas diferenças estatisticamente significativas.</w:t>
            </w:r>
          </w:p>
        </w:tc>
      </w:tr>
      <w:tr w:rsidR="00FE6110" w:rsidRPr="00FE6110" w:rsidTr="00CE071F">
        <w:trPr>
          <w:trHeight w:val="288"/>
        </w:trPr>
        <w:tc>
          <w:tcPr>
            <w:tcW w:w="10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tbl>
      <w:tblPr>
        <w:tblpPr w:leftFromText="141" w:rightFromText="141" w:vertAnchor="page" w:horzAnchor="margin" w:tblpXSpec="center" w:tblpY="5202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172"/>
        <w:gridCol w:w="2228"/>
        <w:gridCol w:w="1165"/>
        <w:gridCol w:w="2215"/>
        <w:gridCol w:w="1580"/>
      </w:tblGrid>
      <w:tr w:rsidR="00FE6110" w:rsidRPr="00FE6110" w:rsidTr="00CE071F">
        <w:trPr>
          <w:trHeight w:val="324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Grupo 2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Grupo  3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DE P</w:t>
            </w:r>
          </w:p>
        </w:tc>
      </w:tr>
      <w:tr w:rsidR="00FE6110" w:rsidRPr="00FE6110" w:rsidTr="00CE071F">
        <w:trPr>
          <w:trHeight w:val="30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Acetato de </w:t>
            </w: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lang w:eastAsia="pt-BR"/>
              </w:rPr>
              <w:t>Triptorrelina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Grupo Controle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E6110" w:rsidRPr="00FE6110" w:rsidTr="00CE071F">
        <w:trPr>
          <w:trHeight w:val="30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N (%)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Desvio Padrão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N (%)</w:t>
            </w:r>
          </w:p>
        </w:tc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Desvio Padrão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E6110" w:rsidRPr="00FE6110" w:rsidTr="00CE071F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n° Amostral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333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133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E6110" w:rsidRPr="00FE6110" w:rsidTr="00CE071F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Media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idade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33,3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E6110" w:rsidRPr="00FE6110" w:rsidTr="00CE071F">
        <w:trPr>
          <w:trHeight w:val="3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Tx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recuperação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77,31%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±41%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65,82%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±35,82%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0,002</w:t>
            </w:r>
            <w:r w:rsidRPr="00FE6110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**G2/G3</w:t>
            </w:r>
          </w:p>
        </w:tc>
      </w:tr>
      <w:tr w:rsidR="00FE6110" w:rsidRPr="00FE6110" w:rsidTr="00CE071F">
        <w:trPr>
          <w:trHeight w:val="3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Media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oocitos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14,5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7,9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±6,34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&lt; 0,001</w:t>
            </w:r>
            <w:r w:rsidRPr="00FE6110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**G2/G3</w:t>
            </w:r>
          </w:p>
        </w:tc>
      </w:tr>
      <w:tr w:rsidR="00FE6110" w:rsidRPr="00FE6110" w:rsidTr="00CE071F">
        <w:trPr>
          <w:trHeight w:val="3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Tx</w:t>
            </w:r>
            <w:proofErr w:type="spellEnd"/>
            <w:r w:rsidRPr="00FE611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maturação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78,60%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±23,85%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79,23%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±19,46%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0,707</w:t>
            </w:r>
            <w:r w:rsidRPr="00FE6110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*G2/G3</w:t>
            </w:r>
          </w:p>
        </w:tc>
      </w:tr>
      <w:tr w:rsidR="00FE6110" w:rsidRPr="00FE6110" w:rsidTr="00CE071F">
        <w:trPr>
          <w:trHeight w:val="288"/>
        </w:trPr>
        <w:tc>
          <w:tcPr>
            <w:tcW w:w="10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** Quando comparada </w:t>
            </w:r>
            <w:proofErr w:type="spellStart"/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proofErr w:type="spellEnd"/>
            <w:r w:rsidRPr="00FE611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média de óvulos coletados e a taxa de recuperação entre o grupo 2 e o grupo controle, foram observadas diferenças estatisticamente significativas.</w:t>
            </w:r>
          </w:p>
        </w:tc>
      </w:tr>
      <w:tr w:rsidR="00FE6110" w:rsidRPr="00FE6110" w:rsidTr="00CE071F">
        <w:trPr>
          <w:trHeight w:val="288"/>
        </w:trPr>
        <w:tc>
          <w:tcPr>
            <w:tcW w:w="10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10" w:rsidRPr="00FE6110" w:rsidRDefault="00FE6110" w:rsidP="00CE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FE6110" w:rsidRDefault="00FE6110" w:rsidP="0058097A">
      <w:pPr>
        <w:jc w:val="center"/>
        <w:rPr>
          <w:rFonts w:ascii="Arial" w:hAnsi="Arial" w:cs="Arial"/>
          <w:b/>
          <w:sz w:val="24"/>
          <w:szCs w:val="24"/>
        </w:rPr>
      </w:pPr>
    </w:p>
    <w:p w:rsidR="00FE6110" w:rsidRDefault="00FE6110" w:rsidP="0058097A">
      <w:pPr>
        <w:jc w:val="center"/>
        <w:rPr>
          <w:rFonts w:ascii="Arial" w:hAnsi="Arial" w:cs="Arial"/>
          <w:b/>
          <w:sz w:val="24"/>
          <w:szCs w:val="24"/>
        </w:rPr>
      </w:pPr>
    </w:p>
    <w:p w:rsidR="00FE6110" w:rsidRPr="002B3E72" w:rsidRDefault="00FE6110" w:rsidP="0058097A">
      <w:pPr>
        <w:jc w:val="center"/>
        <w:rPr>
          <w:rFonts w:ascii="Arial" w:hAnsi="Arial" w:cs="Arial"/>
          <w:b/>
          <w:sz w:val="24"/>
          <w:szCs w:val="24"/>
        </w:rPr>
      </w:pPr>
    </w:p>
    <w:sectPr w:rsidR="00FE6110" w:rsidRPr="002B3E7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2D" w:rsidRDefault="00E26F2D" w:rsidP="00FE6110">
      <w:pPr>
        <w:spacing w:after="0" w:line="240" w:lineRule="auto"/>
      </w:pPr>
      <w:r>
        <w:separator/>
      </w:r>
    </w:p>
  </w:endnote>
  <w:endnote w:type="continuationSeparator" w:id="0">
    <w:p w:rsidR="00E26F2D" w:rsidRDefault="00E26F2D" w:rsidP="00FE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10" w:rsidRDefault="00FE6110" w:rsidP="00FE6110">
    <w:pPr>
      <w:spacing w:after="0" w:line="240" w:lineRule="auto"/>
      <w:rPr>
        <w:rFonts w:ascii="Times New Roman" w:hAnsi="Times New Roman" w:cs="Times New Roman"/>
        <w:b/>
        <w:shd w:val="clear" w:color="auto" w:fill="FFFFFF"/>
      </w:rPr>
    </w:pPr>
    <w:proofErr w:type="spellStart"/>
    <w:r w:rsidRPr="009D2852">
      <w:rPr>
        <w:rFonts w:ascii="Times New Roman" w:hAnsi="Times New Roman" w:cs="Times New Roman"/>
        <w:b/>
        <w:shd w:val="clear" w:color="auto" w:fill="FFFFFF"/>
      </w:rPr>
      <w:t>Institute</w:t>
    </w:r>
    <w:proofErr w:type="spellEnd"/>
    <w:r w:rsidRPr="009D2852">
      <w:rPr>
        <w:rFonts w:ascii="Times New Roman" w:hAnsi="Times New Roman" w:cs="Times New Roman"/>
        <w:b/>
        <w:shd w:val="clear" w:color="auto" w:fill="FFFFFF"/>
      </w:rPr>
      <w:t xml:space="preserve"> </w:t>
    </w:r>
    <w:proofErr w:type="spellStart"/>
    <w:r w:rsidRPr="009D2852">
      <w:rPr>
        <w:rFonts w:ascii="Times New Roman" w:hAnsi="Times New Roman" w:cs="Times New Roman"/>
        <w:b/>
        <w:shd w:val="clear" w:color="auto" w:fill="FFFFFF"/>
      </w:rPr>
      <w:t>of</w:t>
    </w:r>
    <w:proofErr w:type="spellEnd"/>
    <w:r w:rsidRPr="009D2852">
      <w:rPr>
        <w:rFonts w:ascii="Times New Roman" w:hAnsi="Times New Roman" w:cs="Times New Roman"/>
        <w:b/>
        <w:shd w:val="clear" w:color="auto" w:fill="FFFFFF"/>
      </w:rPr>
      <w:t xml:space="preserve"> </w:t>
    </w:r>
    <w:proofErr w:type="spellStart"/>
    <w:r w:rsidRPr="009D2852">
      <w:rPr>
        <w:rFonts w:ascii="Times New Roman" w:hAnsi="Times New Roman" w:cs="Times New Roman"/>
        <w:b/>
        <w:shd w:val="clear" w:color="auto" w:fill="FFFFFF"/>
      </w:rPr>
      <w:t>Human</w:t>
    </w:r>
    <w:proofErr w:type="spellEnd"/>
    <w:r w:rsidRPr="009D2852">
      <w:rPr>
        <w:rFonts w:ascii="Times New Roman" w:hAnsi="Times New Roman" w:cs="Times New Roman"/>
        <w:b/>
        <w:shd w:val="clear" w:color="auto" w:fill="FFFFFF"/>
      </w:rPr>
      <w:t xml:space="preserve"> </w:t>
    </w:r>
    <w:proofErr w:type="spellStart"/>
    <w:r w:rsidRPr="009D2852">
      <w:rPr>
        <w:rFonts w:ascii="Times New Roman" w:hAnsi="Times New Roman" w:cs="Times New Roman"/>
        <w:b/>
        <w:shd w:val="clear" w:color="auto" w:fill="FFFFFF"/>
      </w:rPr>
      <w:t>Reproduction</w:t>
    </w:r>
    <w:proofErr w:type="spellEnd"/>
    <w:r w:rsidRPr="009D2852">
      <w:rPr>
        <w:rFonts w:ascii="Times New Roman" w:hAnsi="Times New Roman" w:cs="Times New Roman"/>
        <w:b/>
        <w:shd w:val="clear" w:color="auto" w:fill="FFFFFF"/>
      </w:rPr>
      <w:t xml:space="preserve"> g</w:t>
    </w:r>
    <w:r>
      <w:rPr>
        <w:rFonts w:ascii="Times New Roman" w:hAnsi="Times New Roman" w:cs="Times New Roman"/>
        <w:b/>
        <w:shd w:val="clear" w:color="auto" w:fill="FFFFFF"/>
      </w:rPr>
      <w:t>erar</w:t>
    </w:r>
    <w:r w:rsidRPr="009D2852">
      <w:rPr>
        <w:rFonts w:ascii="Times New Roman" w:hAnsi="Times New Roman" w:cs="Times New Roman"/>
        <w:b/>
        <w:shd w:val="clear" w:color="auto" w:fill="FFFFFF"/>
      </w:rPr>
      <w:t xml:space="preserve"> in vitro</w:t>
    </w:r>
  </w:p>
  <w:p w:rsidR="00FE6110" w:rsidRPr="007C48E1" w:rsidRDefault="00FE6110" w:rsidP="00FE6110">
    <w:pPr>
      <w:spacing w:after="0" w:line="240" w:lineRule="auto"/>
      <w:rPr>
        <w:rFonts w:ascii="Times New Roman" w:hAnsi="Times New Roman" w:cs="Times New Roman"/>
        <w:shd w:val="clear" w:color="auto" w:fill="FFFFFF"/>
      </w:rPr>
    </w:pPr>
    <w:proofErr w:type="spellStart"/>
    <w:r w:rsidRPr="007C48E1">
      <w:rPr>
        <w:rFonts w:ascii="Times New Roman" w:hAnsi="Times New Roman" w:cs="Times New Roman"/>
        <w:b/>
        <w:shd w:val="clear" w:color="auto" w:fill="FFFFFF"/>
      </w:rPr>
      <w:t>Address</w:t>
    </w:r>
    <w:proofErr w:type="spellEnd"/>
    <w:r w:rsidRPr="007C48E1">
      <w:rPr>
        <w:rFonts w:ascii="Times New Roman" w:hAnsi="Times New Roman" w:cs="Times New Roman"/>
        <w:b/>
        <w:shd w:val="clear" w:color="auto" w:fill="FFFFFF"/>
      </w:rPr>
      <w:t>:</w:t>
    </w:r>
    <w:r w:rsidRPr="007C48E1">
      <w:rPr>
        <w:rFonts w:ascii="Times New Roman" w:hAnsi="Times New Roman" w:cs="Times New Roman"/>
        <w:shd w:val="clear" w:color="auto" w:fill="FFFFFF"/>
      </w:rPr>
      <w:t xml:space="preserve"> Avenida Aziz </w:t>
    </w:r>
    <w:proofErr w:type="spellStart"/>
    <w:r w:rsidRPr="007C48E1">
      <w:rPr>
        <w:rFonts w:ascii="Times New Roman" w:hAnsi="Times New Roman" w:cs="Times New Roman"/>
        <w:shd w:val="clear" w:color="auto" w:fill="FFFFFF"/>
      </w:rPr>
      <w:t>Maron</w:t>
    </w:r>
    <w:proofErr w:type="spellEnd"/>
    <w:r w:rsidRPr="007C48E1">
      <w:rPr>
        <w:rFonts w:ascii="Times New Roman" w:hAnsi="Times New Roman" w:cs="Times New Roman"/>
        <w:shd w:val="clear" w:color="auto" w:fill="FFFFFF"/>
      </w:rPr>
      <w:t xml:space="preserve"> 1067, Jequitibá trade center</w:t>
    </w:r>
  </w:p>
  <w:p w:rsidR="00FE6110" w:rsidRPr="007C48E1" w:rsidRDefault="00FE6110" w:rsidP="00FE6110">
    <w:pPr>
      <w:spacing w:after="0" w:line="240" w:lineRule="auto"/>
      <w:rPr>
        <w:rFonts w:ascii="Times New Roman" w:hAnsi="Times New Roman" w:cs="Times New Roman"/>
        <w:shd w:val="clear" w:color="auto" w:fill="FFFFFF"/>
      </w:rPr>
    </w:pPr>
    <w:proofErr w:type="spellStart"/>
    <w:r w:rsidRPr="007C48E1">
      <w:rPr>
        <w:rFonts w:ascii="Times New Roman" w:hAnsi="Times New Roman" w:cs="Times New Roman"/>
        <w:b/>
        <w:shd w:val="clear" w:color="auto" w:fill="FFFFFF"/>
      </w:rPr>
      <w:t>Complement</w:t>
    </w:r>
    <w:proofErr w:type="spellEnd"/>
    <w:r w:rsidRPr="007C48E1">
      <w:rPr>
        <w:rFonts w:ascii="Times New Roman" w:hAnsi="Times New Roman" w:cs="Times New Roman"/>
        <w:b/>
        <w:shd w:val="clear" w:color="auto" w:fill="FFFFFF"/>
      </w:rPr>
      <w:t>:</w:t>
    </w:r>
    <w:r w:rsidRPr="007C48E1">
      <w:rPr>
        <w:rFonts w:ascii="Times New Roman" w:hAnsi="Times New Roman" w:cs="Times New Roman"/>
        <w:shd w:val="clear" w:color="auto" w:fill="FFFFFF"/>
      </w:rPr>
      <w:t xml:space="preserve"> </w:t>
    </w:r>
    <w:proofErr w:type="spellStart"/>
    <w:r w:rsidRPr="007C48E1">
      <w:rPr>
        <w:rFonts w:ascii="Times New Roman" w:hAnsi="Times New Roman" w:cs="Times New Roman"/>
        <w:shd w:val="clear" w:color="auto" w:fill="FFFFFF"/>
      </w:rPr>
      <w:t>Room</w:t>
    </w:r>
    <w:proofErr w:type="spellEnd"/>
    <w:r w:rsidRPr="007C48E1">
      <w:rPr>
        <w:rFonts w:ascii="Times New Roman" w:hAnsi="Times New Roman" w:cs="Times New Roman"/>
        <w:shd w:val="clear" w:color="auto" w:fill="FFFFFF"/>
      </w:rPr>
      <w:t xml:space="preserve"> 703</w:t>
    </w:r>
  </w:p>
  <w:p w:rsidR="00FE6110" w:rsidRPr="007C48E1" w:rsidRDefault="00FE6110" w:rsidP="00FE6110">
    <w:pPr>
      <w:spacing w:after="0" w:line="240" w:lineRule="auto"/>
      <w:rPr>
        <w:rFonts w:ascii="Times New Roman" w:hAnsi="Times New Roman" w:cs="Times New Roman"/>
        <w:shd w:val="clear" w:color="auto" w:fill="FFFFFF"/>
      </w:rPr>
    </w:pPr>
    <w:proofErr w:type="spellStart"/>
    <w:r w:rsidRPr="007C48E1">
      <w:rPr>
        <w:rFonts w:ascii="Times New Roman" w:hAnsi="Times New Roman" w:cs="Times New Roman"/>
        <w:b/>
        <w:shd w:val="clear" w:color="auto" w:fill="FFFFFF"/>
      </w:rPr>
      <w:t>Email</w:t>
    </w:r>
    <w:proofErr w:type="spellEnd"/>
    <w:r w:rsidRPr="007C48E1">
      <w:rPr>
        <w:rFonts w:ascii="Times New Roman" w:hAnsi="Times New Roman" w:cs="Times New Roman"/>
        <w:b/>
        <w:shd w:val="clear" w:color="auto" w:fill="FFFFFF"/>
      </w:rPr>
      <w:t>:</w:t>
    </w:r>
    <w:r w:rsidRPr="007C48E1">
      <w:rPr>
        <w:rFonts w:ascii="Times New Roman" w:hAnsi="Times New Roman" w:cs="Times New Roman"/>
        <w:shd w:val="clear" w:color="auto" w:fill="FFFFFF"/>
      </w:rPr>
      <w:t xml:space="preserve"> Jonathanfiv1@gmail.com</w:t>
    </w:r>
  </w:p>
  <w:p w:rsidR="00FE6110" w:rsidRPr="009D2852" w:rsidRDefault="00FE6110" w:rsidP="00FE6110">
    <w:pPr>
      <w:pStyle w:val="Rodap"/>
      <w:rPr>
        <w:rFonts w:ascii="Times New Roman" w:hAnsi="Times New Roman" w:cs="Times New Roman"/>
      </w:rPr>
    </w:pPr>
    <w:proofErr w:type="spellStart"/>
    <w:r w:rsidRPr="007C48E1">
      <w:rPr>
        <w:rFonts w:ascii="Times New Roman" w:hAnsi="Times New Roman" w:cs="Times New Roman"/>
        <w:b/>
      </w:rPr>
      <w:t>Contact</w:t>
    </w:r>
    <w:proofErr w:type="spellEnd"/>
    <w:r w:rsidRPr="007C48E1">
      <w:rPr>
        <w:rFonts w:ascii="Times New Roman" w:hAnsi="Times New Roman" w:cs="Times New Roman"/>
        <w:b/>
      </w:rPr>
      <w:t xml:space="preserve">: </w:t>
    </w:r>
    <w:r w:rsidRPr="007C48E1">
      <w:rPr>
        <w:rFonts w:ascii="Times New Roman" w:hAnsi="Times New Roman" w:cs="Times New Roman"/>
      </w:rPr>
      <w:t>+55 (12) 99121-8826</w:t>
    </w:r>
  </w:p>
  <w:p w:rsidR="00FE6110" w:rsidRDefault="00FE61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2D" w:rsidRDefault="00E26F2D" w:rsidP="00FE6110">
      <w:pPr>
        <w:spacing w:after="0" w:line="240" w:lineRule="auto"/>
      </w:pPr>
      <w:r>
        <w:separator/>
      </w:r>
    </w:p>
  </w:footnote>
  <w:footnote w:type="continuationSeparator" w:id="0">
    <w:p w:rsidR="00E26F2D" w:rsidRDefault="00E26F2D" w:rsidP="00FE6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E"/>
    <w:rsid w:val="000F3AF3"/>
    <w:rsid w:val="002B3E72"/>
    <w:rsid w:val="00355D5E"/>
    <w:rsid w:val="0058097A"/>
    <w:rsid w:val="00CE071F"/>
    <w:rsid w:val="00D328C7"/>
    <w:rsid w:val="00D54D76"/>
    <w:rsid w:val="00E26F2D"/>
    <w:rsid w:val="00F60C83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E9CCE"/>
  <w15:chartTrackingRefBased/>
  <w15:docId w15:val="{01EC34C8-7667-4BD1-9928-EB5F562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110"/>
  </w:style>
  <w:style w:type="paragraph" w:styleId="Rodap">
    <w:name w:val="footer"/>
    <w:basedOn w:val="Normal"/>
    <w:link w:val="RodapChar"/>
    <w:uiPriority w:val="99"/>
    <w:unhideWhenUsed/>
    <w:rsid w:val="00FE6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2023-07-16T16:24:00Z</dcterms:created>
  <dcterms:modified xsi:type="dcterms:W3CDTF">2023-07-29T18:29:00Z</dcterms:modified>
</cp:coreProperties>
</file>